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ADMINISTRACIÓN DE RIESGOS</w:t>
      </w:r>
    </w:p>
    <w:p w14:paraId="517CF4A2" w14:textId="77777777" w:rsidR="00A32019" w:rsidRDefault="00A32019" w:rsidP="00A32019">
      <w:pPr>
        <w:spacing w:after="0"/>
        <w:jc w:val="center"/>
        <w:rPr>
          <w:rFonts w:ascii="Verdana" w:hAnsi="Verdana"/>
          <w:b/>
          <w:bCs/>
          <w:sz w:val="20"/>
          <w:szCs w:val="20"/>
        </w:rPr>
      </w:pPr>
    </w:p>
    <w:p w14:paraId="3CCDA678" w14:textId="7CEDFFD8"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CAPÍTULO 1</w:t>
      </w:r>
    </w:p>
    <w:p w14:paraId="38781A38" w14:textId="172DE320"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72929AE6" w14:textId="5D4FF484"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(SIAR)</w:t>
      </w:r>
    </w:p>
    <w:p w14:paraId="42B1BFD1" w14:textId="77777777" w:rsidR="00A32019" w:rsidRDefault="00A32019" w:rsidP="00A32019">
      <w:pPr>
        <w:spacing w:after="0"/>
        <w:jc w:val="center"/>
        <w:rPr>
          <w:rFonts w:ascii="Verdana" w:hAnsi="Verdana"/>
          <w:b/>
          <w:bCs/>
          <w:sz w:val="20"/>
          <w:szCs w:val="20"/>
        </w:rPr>
      </w:pPr>
    </w:p>
    <w:p w14:paraId="1F071BFB" w14:textId="41C1CBBC" w:rsidR="00A64CAA" w:rsidRPr="00CF0120" w:rsidRDefault="00A64CAA" w:rsidP="00A32019">
      <w:pPr>
        <w:spacing w:after="0"/>
        <w:jc w:val="center"/>
        <w:rPr>
          <w:rFonts w:ascii="Verdana" w:hAnsi="Verdana"/>
          <w:b/>
          <w:bCs/>
          <w:sz w:val="20"/>
          <w:szCs w:val="20"/>
        </w:rPr>
      </w:pPr>
      <w:r w:rsidRPr="00CF0120">
        <w:rPr>
          <w:rFonts w:ascii="Verdana" w:hAnsi="Verdana"/>
          <w:b/>
          <w:bCs/>
          <w:sz w:val="20"/>
          <w:szCs w:val="20"/>
        </w:rPr>
        <w:t xml:space="preserve">ANEXO </w:t>
      </w:r>
      <w:r w:rsidR="003057D6">
        <w:rPr>
          <w:rFonts w:ascii="Verdana" w:hAnsi="Verdana"/>
          <w:b/>
          <w:bCs/>
          <w:sz w:val="20"/>
          <w:szCs w:val="20"/>
        </w:rPr>
        <w:t>9</w:t>
      </w:r>
    </w:p>
    <w:p w14:paraId="44DF4EAB" w14:textId="77777777" w:rsidR="003057D6" w:rsidRPr="003057D6" w:rsidRDefault="003057D6" w:rsidP="00A32019">
      <w:pPr>
        <w:tabs>
          <w:tab w:val="left" w:pos="0"/>
          <w:tab w:val="left" w:pos="709"/>
        </w:tabs>
        <w:spacing w:after="0"/>
        <w:jc w:val="center"/>
        <w:rPr>
          <w:rFonts w:ascii="Verdana" w:hAnsi="Verdana"/>
          <w:b/>
          <w:sz w:val="20"/>
          <w:szCs w:val="20"/>
        </w:rPr>
      </w:pPr>
      <w:r w:rsidRPr="003057D6">
        <w:rPr>
          <w:rFonts w:ascii="Verdana" w:hAnsi="Verdana"/>
          <w:b/>
          <w:sz w:val="20"/>
          <w:szCs w:val="20"/>
        </w:rPr>
        <w:t>METODOLOGÍA PARA LA MEDICIÓN Y REPORTE ESTÁNDAR DEL RIESGO DE LIQUIDEZ DE LOS ESTABLECIMIENTOS DE CRÉDITO, ORGANISMOS COOPERATIVOS DE GRADO SUPERIOR Y ALGUNAS INSTITUCIONES OFICIALES ESPECIALES</w:t>
      </w:r>
    </w:p>
    <w:p w14:paraId="34FD7863" w14:textId="77777777" w:rsidR="009D6127" w:rsidRDefault="009D6127" w:rsidP="009D6127">
      <w:pPr>
        <w:rPr>
          <w:rFonts w:ascii="Verdana" w:hAnsi="Verdana"/>
          <w:b/>
          <w:bCs/>
          <w:sz w:val="20"/>
          <w:szCs w:val="20"/>
        </w:rPr>
      </w:pPr>
    </w:p>
    <w:p w14:paraId="12DDB5E6" w14:textId="32682860" w:rsidR="00930253" w:rsidRPr="00930253" w:rsidRDefault="00476BCD" w:rsidP="002912D0">
      <w:pPr>
        <w:jc w:val="both"/>
        <w:rPr>
          <w:rFonts w:ascii="Verdana" w:hAnsi="Verdana"/>
          <w:sz w:val="20"/>
        </w:rPr>
      </w:pPr>
      <w:r w:rsidRPr="003B1055">
        <w:rPr>
          <w:rFonts w:ascii="Verdana" w:hAnsi="Verdana"/>
          <w:b/>
          <w:bCs/>
          <w:sz w:val="20"/>
          <w:szCs w:val="20"/>
        </w:rPr>
        <w:t>CONSIDERACIONES GENERALES</w:t>
      </w:r>
    </w:p>
    <w:p w14:paraId="7433723B" w14:textId="5F24D2DD" w:rsidR="009A6B77" w:rsidRPr="000E0B7B" w:rsidRDefault="009A6B77" w:rsidP="009A6B7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p>
    <w:p w14:paraId="5E97EA3B" w14:textId="1B272150" w:rsidR="00930253" w:rsidRPr="00930253" w:rsidRDefault="00930253" w:rsidP="00930253">
      <w:pPr>
        <w:pStyle w:val="Textoindependiente"/>
        <w:rPr>
          <w:rFonts w:ascii="Verdana" w:hAnsi="Verdana"/>
          <w:sz w:val="20"/>
        </w:rPr>
      </w:pPr>
      <w:r w:rsidRPr="00930253">
        <w:rPr>
          <w:rFonts w:ascii="Verdana" w:hAnsi="Verdana"/>
          <w:sz w:val="20"/>
        </w:rPr>
        <w:t xml:space="preserve">En el presente </w:t>
      </w:r>
      <w:r w:rsidR="006855C2">
        <w:rPr>
          <w:rFonts w:ascii="Verdana" w:hAnsi="Verdana"/>
          <w:sz w:val="20"/>
        </w:rPr>
        <w:t>a</w:t>
      </w:r>
      <w:r w:rsidRPr="00930253">
        <w:rPr>
          <w:rFonts w:ascii="Verdana" w:hAnsi="Verdana"/>
          <w:sz w:val="20"/>
        </w:rPr>
        <w:t xml:space="preserve">nexo se establece la metodología </w:t>
      </w:r>
      <w:r w:rsidR="006D1112">
        <w:rPr>
          <w:rFonts w:ascii="Verdana" w:hAnsi="Verdana"/>
          <w:sz w:val="20"/>
        </w:rPr>
        <w:t xml:space="preserve">estándar de </w:t>
      </w:r>
      <w:r w:rsidRPr="00930253">
        <w:rPr>
          <w:rFonts w:ascii="Verdana" w:hAnsi="Verdana"/>
          <w:sz w:val="20"/>
        </w:rPr>
        <w:t xml:space="preserve">medición del riesgo de liquidez que </w:t>
      </w:r>
      <w:r w:rsidR="00BE58D1">
        <w:rPr>
          <w:rFonts w:ascii="Verdana" w:hAnsi="Verdana"/>
          <w:sz w:val="20"/>
        </w:rPr>
        <w:t xml:space="preserve">deben cumplir </w:t>
      </w:r>
      <w:r w:rsidRPr="00930253">
        <w:rPr>
          <w:rFonts w:ascii="Verdana" w:hAnsi="Verdana"/>
          <w:sz w:val="20"/>
        </w:rPr>
        <w:t>los EC, organismos cooperativos de grado superior, Bancóldex, Findeter y Finagro</w:t>
      </w:r>
      <w:r w:rsidR="00BE58D1">
        <w:rPr>
          <w:rFonts w:ascii="Verdana" w:hAnsi="Verdana"/>
          <w:sz w:val="20"/>
        </w:rPr>
        <w:t>, así como</w:t>
      </w:r>
      <w:r w:rsidR="00BE58D1" w:rsidRPr="00930253">
        <w:rPr>
          <w:rFonts w:ascii="Verdana" w:hAnsi="Verdana"/>
          <w:sz w:val="20"/>
        </w:rPr>
        <w:t xml:space="preserve"> las características del reporte estándar</w:t>
      </w:r>
      <w:r w:rsidRPr="00930253">
        <w:rPr>
          <w:rFonts w:ascii="Verdana" w:hAnsi="Verdana"/>
          <w:sz w:val="20"/>
        </w:rPr>
        <w:t xml:space="preserve"> </w:t>
      </w:r>
      <w:r w:rsidR="00BE58D1">
        <w:rPr>
          <w:rFonts w:ascii="Verdana" w:hAnsi="Verdana"/>
          <w:sz w:val="20"/>
        </w:rPr>
        <w:t xml:space="preserve">que </w:t>
      </w:r>
      <w:r w:rsidRPr="00930253">
        <w:rPr>
          <w:rFonts w:ascii="Verdana" w:hAnsi="Verdana"/>
          <w:sz w:val="20"/>
        </w:rPr>
        <w:t xml:space="preserve">debe remitir semanalmente </w:t>
      </w:r>
      <w:r w:rsidR="00151BC9">
        <w:rPr>
          <w:rFonts w:ascii="Verdana" w:hAnsi="Verdana"/>
          <w:sz w:val="20"/>
        </w:rPr>
        <w:t xml:space="preserve">cada </w:t>
      </w:r>
      <w:r w:rsidRPr="00930253">
        <w:rPr>
          <w:rFonts w:ascii="Verdana" w:hAnsi="Verdana"/>
          <w:sz w:val="20"/>
        </w:rPr>
        <w:t>entidad.</w:t>
      </w:r>
    </w:p>
    <w:p w14:paraId="2FBCD9C8" w14:textId="77777777" w:rsidR="00930253" w:rsidRPr="00930253" w:rsidRDefault="00930253" w:rsidP="00930253">
      <w:pPr>
        <w:pStyle w:val="Textoindependiente"/>
        <w:rPr>
          <w:rFonts w:ascii="Verdana" w:hAnsi="Verdana"/>
          <w:sz w:val="20"/>
        </w:rPr>
      </w:pPr>
    </w:p>
    <w:p w14:paraId="203F0860" w14:textId="29B0D6E5" w:rsidR="00930253" w:rsidRPr="00476BCD" w:rsidRDefault="00476BCD" w:rsidP="00476BCD">
      <w:pPr>
        <w:jc w:val="both"/>
        <w:rPr>
          <w:rFonts w:ascii="Verdana" w:hAnsi="Verdana"/>
          <w:b/>
          <w:bCs/>
          <w:sz w:val="20"/>
          <w:szCs w:val="20"/>
        </w:rPr>
      </w:pPr>
      <w:r w:rsidRPr="003B1055">
        <w:rPr>
          <w:rFonts w:ascii="Verdana" w:hAnsi="Verdana"/>
          <w:b/>
          <w:bCs/>
          <w:sz w:val="20"/>
          <w:szCs w:val="20"/>
        </w:rPr>
        <w:t>METODOLOGÍA ESTÁNDAR DE MEDICIÓN</w:t>
      </w:r>
    </w:p>
    <w:p w14:paraId="4EA87131" w14:textId="16AA0328" w:rsidR="00930253" w:rsidRPr="00930253" w:rsidRDefault="00930253" w:rsidP="002912D0">
      <w:pPr>
        <w:jc w:val="both"/>
        <w:rPr>
          <w:rFonts w:ascii="Verdana" w:hAnsi="Verdana"/>
          <w:b/>
          <w:sz w:val="20"/>
          <w:szCs w:val="20"/>
        </w:rPr>
      </w:pPr>
      <w:r w:rsidRPr="003B1055">
        <w:rPr>
          <w:rFonts w:ascii="Verdana" w:hAnsi="Verdana"/>
          <w:b/>
          <w:bCs/>
          <w:sz w:val="20"/>
          <w:szCs w:val="20"/>
        </w:rPr>
        <w:t xml:space="preserve">Medición del requerimiento de liquidez por vencimientos contractuales (Flujo </w:t>
      </w:r>
      <w:r w:rsidR="006855C2">
        <w:rPr>
          <w:rFonts w:ascii="Verdana" w:hAnsi="Verdana"/>
          <w:b/>
          <w:bCs/>
          <w:sz w:val="20"/>
          <w:szCs w:val="20"/>
        </w:rPr>
        <w:t>n</w:t>
      </w:r>
      <w:r w:rsidRPr="003B1055">
        <w:rPr>
          <w:rFonts w:ascii="Verdana" w:hAnsi="Verdana"/>
          <w:b/>
          <w:bCs/>
          <w:sz w:val="20"/>
          <w:szCs w:val="20"/>
        </w:rPr>
        <w:t xml:space="preserve">eto </w:t>
      </w:r>
      <w:r w:rsidR="006855C2">
        <w:rPr>
          <w:rFonts w:ascii="Verdana" w:hAnsi="Verdana"/>
          <w:b/>
          <w:bCs/>
          <w:sz w:val="20"/>
          <w:szCs w:val="20"/>
        </w:rPr>
        <w:t>v</w:t>
      </w:r>
      <w:r w:rsidRPr="003B1055">
        <w:rPr>
          <w:rFonts w:ascii="Verdana" w:hAnsi="Verdana"/>
          <w:b/>
          <w:bCs/>
          <w:sz w:val="20"/>
          <w:szCs w:val="20"/>
        </w:rPr>
        <w:t xml:space="preserve">encimientos </w:t>
      </w:r>
      <w:r w:rsidR="006855C2">
        <w:rPr>
          <w:rFonts w:ascii="Verdana" w:hAnsi="Verdana"/>
          <w:b/>
          <w:bCs/>
          <w:sz w:val="20"/>
          <w:szCs w:val="20"/>
        </w:rPr>
        <w:t>c</w:t>
      </w:r>
      <w:r w:rsidRPr="003B1055">
        <w:rPr>
          <w:rFonts w:ascii="Verdana" w:hAnsi="Verdana"/>
          <w:b/>
          <w:bCs/>
          <w:sz w:val="20"/>
          <w:szCs w:val="20"/>
        </w:rPr>
        <w:t>ontractuales – FNVC)</w:t>
      </w:r>
    </w:p>
    <w:p w14:paraId="4686CE13" w14:textId="0189680E" w:rsidR="00C3247B" w:rsidRPr="000E0B7B" w:rsidRDefault="00C3247B" w:rsidP="00C3247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Pr="000E0B7B">
        <w:rPr>
          <w:rFonts w:ascii="Verdana" w:hAnsi="Verdana"/>
          <w:sz w:val="20"/>
          <w:szCs w:val="20"/>
        </w:rPr>
        <w:t>.</w:t>
      </w:r>
    </w:p>
    <w:p w14:paraId="2F0B35CD" w14:textId="51ECCC04" w:rsidR="00930253" w:rsidRPr="00930253" w:rsidRDefault="00930253" w:rsidP="00930253">
      <w:pPr>
        <w:jc w:val="both"/>
        <w:rPr>
          <w:rFonts w:ascii="Verdana" w:hAnsi="Verdana"/>
          <w:sz w:val="20"/>
          <w:szCs w:val="20"/>
        </w:rPr>
      </w:pPr>
      <w:r w:rsidRPr="00930253">
        <w:rPr>
          <w:rFonts w:ascii="Verdana" w:hAnsi="Verdana"/>
          <w:sz w:val="20"/>
          <w:szCs w:val="20"/>
        </w:rPr>
        <w:t>Las entidades deben establecer el grado de exposición al riesgo de liquidez de las posiciones que presentan vencimientos contractuales en fechas prestablecidas mediante el análisis del descalce de los flujos de efectivo de sus activos, pasivos y posiciones fuera de balance. Si bien las entidades podrán definir las bandas temporales que consideren apropiadas para el adecuado monitoreo y control de su liquidez, deberán medir y registrar los descalces de plazos y establecer el flujo neto de vencimientos contractuales por lo menos sobre las siguientes bandas de tiempo:</w:t>
      </w:r>
    </w:p>
    <w:p w14:paraId="6A171D0C" w14:textId="14A74018" w:rsidR="00BF67E2" w:rsidRPr="000E0B7B" w:rsidRDefault="00BF67E2" w:rsidP="00BF67E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Pr="000E0B7B">
        <w:rPr>
          <w:rFonts w:ascii="Verdana" w:hAnsi="Verdana"/>
          <w:sz w:val="20"/>
          <w:szCs w:val="20"/>
        </w:rPr>
        <w:t>.</w:t>
      </w:r>
    </w:p>
    <w:p w14:paraId="2ECF008B" w14:textId="7E0E790D" w:rsidR="00930253" w:rsidRPr="00930253" w:rsidRDefault="00930253" w:rsidP="00930253">
      <w:pPr>
        <w:jc w:val="both"/>
        <w:rPr>
          <w:rFonts w:ascii="Verdana" w:hAnsi="Verdana"/>
          <w:sz w:val="20"/>
          <w:szCs w:val="20"/>
        </w:rPr>
      </w:pPr>
      <w:r w:rsidRPr="00930253">
        <w:rPr>
          <w:rFonts w:ascii="Verdana" w:hAnsi="Verdana"/>
          <w:sz w:val="20"/>
          <w:szCs w:val="20"/>
        </w:rPr>
        <w:t xml:space="preserve">Primera banda: Comprende 7 días calendario contados desde el lunes de la semana en la que se remite el reporte semanal del riesgo de liquidez hasta el </w:t>
      </w:r>
      <w:proofErr w:type="gramStart"/>
      <w:r w:rsidRPr="00930253">
        <w:rPr>
          <w:rFonts w:ascii="Verdana" w:hAnsi="Verdana"/>
          <w:sz w:val="20"/>
          <w:szCs w:val="20"/>
        </w:rPr>
        <w:t>día domingo</w:t>
      </w:r>
      <w:proofErr w:type="gramEnd"/>
      <w:r w:rsidRPr="00930253">
        <w:rPr>
          <w:rFonts w:ascii="Verdana" w:hAnsi="Verdana"/>
          <w:sz w:val="20"/>
          <w:szCs w:val="20"/>
        </w:rPr>
        <w:t xml:space="preserve"> de la misma</w:t>
      </w:r>
      <w:r w:rsidR="00C53A3E">
        <w:rPr>
          <w:rFonts w:ascii="Verdana" w:hAnsi="Verdana"/>
          <w:sz w:val="20"/>
          <w:szCs w:val="20"/>
        </w:rPr>
        <w:t xml:space="preserve"> semana</w:t>
      </w:r>
      <w:r w:rsidRPr="00930253">
        <w:rPr>
          <w:rFonts w:ascii="Verdana" w:hAnsi="Verdana"/>
          <w:sz w:val="20"/>
          <w:szCs w:val="20"/>
        </w:rPr>
        <w:t>. Los flujos de esta banda deben distribuirse, a su vez, en 7 bandas diarias.</w:t>
      </w:r>
    </w:p>
    <w:p w14:paraId="0972207F" w14:textId="515B8F19" w:rsidR="00213DA3" w:rsidRPr="000E0B7B" w:rsidRDefault="00213DA3" w:rsidP="00213DA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4</w:t>
      </w:r>
      <w:r w:rsidRPr="000E0B7B">
        <w:rPr>
          <w:rFonts w:ascii="Verdana" w:hAnsi="Verdana"/>
          <w:sz w:val="20"/>
          <w:szCs w:val="20"/>
        </w:rPr>
        <w:t>.</w:t>
      </w:r>
    </w:p>
    <w:p w14:paraId="0713290D" w14:textId="5C6B80D8" w:rsidR="00930253" w:rsidRPr="00930253" w:rsidRDefault="00930253" w:rsidP="00930253">
      <w:pPr>
        <w:jc w:val="both"/>
        <w:rPr>
          <w:rFonts w:ascii="Verdana" w:hAnsi="Verdana"/>
          <w:sz w:val="20"/>
          <w:szCs w:val="20"/>
        </w:rPr>
      </w:pPr>
      <w:r w:rsidRPr="00930253">
        <w:rPr>
          <w:rFonts w:ascii="Verdana" w:hAnsi="Verdana"/>
          <w:sz w:val="20"/>
          <w:szCs w:val="20"/>
        </w:rPr>
        <w:t xml:space="preserve">Segunda banda: Comprende desde el octavo día (8º) hasta el décimo quinto día (15º), contados desde el día que se señaló </w:t>
      </w:r>
      <w:r w:rsidR="000F3AEF">
        <w:rPr>
          <w:rFonts w:ascii="Verdana" w:hAnsi="Verdana"/>
          <w:sz w:val="20"/>
          <w:szCs w:val="20"/>
        </w:rPr>
        <w:t xml:space="preserve">en el párrafo </w:t>
      </w:r>
      <w:r w:rsidRPr="00930253">
        <w:rPr>
          <w:rFonts w:ascii="Verdana" w:hAnsi="Verdana"/>
          <w:sz w:val="20"/>
          <w:szCs w:val="20"/>
        </w:rPr>
        <w:t xml:space="preserve">anterior. Al interior de esta banda, al igual que en las siguientes, no se exige que los descalces de flujos se presenten </w:t>
      </w:r>
      <w:proofErr w:type="gramStart"/>
      <w:r w:rsidRPr="00930253">
        <w:rPr>
          <w:rFonts w:ascii="Verdana" w:hAnsi="Verdana"/>
          <w:sz w:val="20"/>
          <w:szCs w:val="20"/>
        </w:rPr>
        <w:t>distribuidos</w:t>
      </w:r>
      <w:r w:rsidR="00220850">
        <w:rPr>
          <w:rFonts w:ascii="Verdana" w:hAnsi="Verdana"/>
          <w:sz w:val="20"/>
          <w:szCs w:val="20"/>
        </w:rPr>
        <w:t xml:space="preserve"> </w:t>
      </w:r>
      <w:r w:rsidRPr="00930253">
        <w:rPr>
          <w:rFonts w:ascii="Verdana" w:hAnsi="Verdana"/>
          <w:sz w:val="20"/>
          <w:szCs w:val="20"/>
        </w:rPr>
        <w:t>día</w:t>
      </w:r>
      <w:proofErr w:type="gramEnd"/>
      <w:r w:rsidRPr="00930253">
        <w:rPr>
          <w:rFonts w:ascii="Verdana" w:hAnsi="Verdana"/>
          <w:sz w:val="20"/>
          <w:szCs w:val="20"/>
        </w:rPr>
        <w:t xml:space="preserve"> por día.</w:t>
      </w:r>
    </w:p>
    <w:p w14:paraId="537FABAF" w14:textId="6144163E" w:rsidR="005B6A3F" w:rsidRPr="000E0B7B" w:rsidRDefault="005B6A3F" w:rsidP="005B6A3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5</w:t>
      </w:r>
      <w:r w:rsidRPr="000E0B7B">
        <w:rPr>
          <w:rFonts w:ascii="Verdana" w:hAnsi="Verdana"/>
          <w:sz w:val="20"/>
          <w:szCs w:val="20"/>
        </w:rPr>
        <w:t>.</w:t>
      </w:r>
    </w:p>
    <w:p w14:paraId="6674D409" w14:textId="1D4F034C" w:rsidR="00930253" w:rsidRPr="00930253" w:rsidRDefault="00930253" w:rsidP="00930253">
      <w:pPr>
        <w:jc w:val="both"/>
        <w:rPr>
          <w:rFonts w:ascii="Verdana" w:hAnsi="Verdana"/>
          <w:sz w:val="20"/>
          <w:szCs w:val="20"/>
        </w:rPr>
      </w:pPr>
      <w:r w:rsidRPr="00930253">
        <w:rPr>
          <w:rFonts w:ascii="Verdana" w:hAnsi="Verdana"/>
          <w:sz w:val="20"/>
          <w:szCs w:val="20"/>
        </w:rPr>
        <w:t xml:space="preserve">Tercera banda: Comprende desde el día 16 hasta el día 30, contados desde la fecha atrás indicada. Para el cálculo del IRL a 30 días se </w:t>
      </w:r>
      <w:r w:rsidR="006D558F">
        <w:rPr>
          <w:rFonts w:ascii="Verdana" w:hAnsi="Verdana"/>
          <w:sz w:val="20"/>
          <w:szCs w:val="20"/>
        </w:rPr>
        <w:t xml:space="preserve">debe </w:t>
      </w:r>
      <w:r w:rsidRPr="00930253">
        <w:rPr>
          <w:rFonts w:ascii="Verdana" w:hAnsi="Verdana"/>
          <w:sz w:val="20"/>
          <w:szCs w:val="20"/>
        </w:rPr>
        <w:t>tene</w:t>
      </w:r>
      <w:r w:rsidR="006D558F">
        <w:rPr>
          <w:rFonts w:ascii="Verdana" w:hAnsi="Verdana"/>
          <w:sz w:val="20"/>
          <w:szCs w:val="20"/>
        </w:rPr>
        <w:t>r</w:t>
      </w:r>
      <w:r w:rsidRPr="00930253">
        <w:rPr>
          <w:rFonts w:ascii="Verdana" w:hAnsi="Verdana"/>
          <w:sz w:val="20"/>
          <w:szCs w:val="20"/>
        </w:rPr>
        <w:t xml:space="preserve"> en cuenta desde la primera banda.</w:t>
      </w:r>
    </w:p>
    <w:p w14:paraId="5296DC21" w14:textId="7404774E" w:rsidR="000F720E" w:rsidRPr="000E0B7B" w:rsidRDefault="000F720E" w:rsidP="000F720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6</w:t>
      </w:r>
      <w:r w:rsidRPr="000E0B7B">
        <w:rPr>
          <w:rFonts w:ascii="Verdana" w:hAnsi="Verdana"/>
          <w:sz w:val="20"/>
          <w:szCs w:val="20"/>
        </w:rPr>
        <w:t>.</w:t>
      </w:r>
    </w:p>
    <w:p w14:paraId="69299D6B" w14:textId="77777777" w:rsidR="00930253" w:rsidRPr="00930253" w:rsidRDefault="00930253" w:rsidP="00930253">
      <w:pPr>
        <w:jc w:val="both"/>
        <w:rPr>
          <w:rFonts w:ascii="Verdana" w:hAnsi="Verdana"/>
          <w:sz w:val="20"/>
          <w:szCs w:val="20"/>
        </w:rPr>
      </w:pPr>
      <w:r w:rsidRPr="00930253">
        <w:rPr>
          <w:rFonts w:ascii="Verdana" w:hAnsi="Verdana"/>
          <w:sz w:val="20"/>
          <w:szCs w:val="20"/>
        </w:rPr>
        <w:t>Cuarta banda: Comprende desde el día 31 hasta el día 90, contados desde la fecha atrás señalada.</w:t>
      </w:r>
    </w:p>
    <w:p w14:paraId="6A61DA4D" w14:textId="5F892DBA" w:rsidR="000F720E" w:rsidRPr="000E0B7B" w:rsidRDefault="000F720E" w:rsidP="000F720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7</w:t>
      </w:r>
      <w:r w:rsidRPr="000E0B7B">
        <w:rPr>
          <w:rFonts w:ascii="Verdana" w:hAnsi="Verdana"/>
          <w:sz w:val="20"/>
          <w:szCs w:val="20"/>
        </w:rPr>
        <w:t>.</w:t>
      </w:r>
    </w:p>
    <w:p w14:paraId="306AA161" w14:textId="66452773" w:rsidR="00930253" w:rsidRPr="00930253" w:rsidRDefault="00930253" w:rsidP="00930253">
      <w:pPr>
        <w:jc w:val="both"/>
        <w:rPr>
          <w:rFonts w:ascii="Verdana" w:hAnsi="Verdana"/>
          <w:sz w:val="20"/>
          <w:szCs w:val="20"/>
        </w:rPr>
      </w:pPr>
      <w:r w:rsidRPr="00930253">
        <w:rPr>
          <w:rFonts w:ascii="Verdana" w:hAnsi="Verdana"/>
          <w:sz w:val="20"/>
          <w:szCs w:val="20"/>
        </w:rPr>
        <w:t xml:space="preserve">El cálculo de los flujos </w:t>
      </w:r>
      <w:r w:rsidR="00BD4343">
        <w:rPr>
          <w:rFonts w:ascii="Verdana" w:hAnsi="Verdana"/>
          <w:sz w:val="20"/>
          <w:szCs w:val="20"/>
        </w:rPr>
        <w:t xml:space="preserve">se </w:t>
      </w:r>
      <w:r w:rsidRPr="00930253">
        <w:rPr>
          <w:rFonts w:ascii="Verdana" w:hAnsi="Verdana"/>
          <w:sz w:val="20"/>
          <w:szCs w:val="20"/>
        </w:rPr>
        <w:t>debe efectuar en forma agregada para moneda nacional y extranjera.</w:t>
      </w:r>
    </w:p>
    <w:p w14:paraId="1D8FF01F" w14:textId="07CBA24F" w:rsidR="004B2DB4" w:rsidRPr="000E0B7B" w:rsidRDefault="004B2DB4" w:rsidP="004B2DB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8</w:t>
      </w:r>
      <w:r w:rsidRPr="000E0B7B">
        <w:rPr>
          <w:rFonts w:ascii="Verdana" w:hAnsi="Verdana"/>
          <w:sz w:val="20"/>
          <w:szCs w:val="20"/>
        </w:rPr>
        <w:t>.</w:t>
      </w:r>
    </w:p>
    <w:p w14:paraId="5E2249C4" w14:textId="2918A76E" w:rsidR="00930253" w:rsidRDefault="00930253" w:rsidP="00930253">
      <w:pPr>
        <w:jc w:val="both"/>
        <w:rPr>
          <w:rFonts w:ascii="Verdana" w:hAnsi="Verdana"/>
          <w:sz w:val="20"/>
          <w:szCs w:val="20"/>
        </w:rPr>
      </w:pPr>
      <w:r w:rsidRPr="00930253">
        <w:rPr>
          <w:rFonts w:ascii="Verdana" w:hAnsi="Verdana"/>
          <w:sz w:val="20"/>
          <w:szCs w:val="20"/>
        </w:rPr>
        <w:t>Las entidades deben remitir semanalmente a la Superintendencia Financiera de Colombia</w:t>
      </w:r>
      <w:r w:rsidR="00D8330B">
        <w:rPr>
          <w:rFonts w:ascii="Verdana" w:hAnsi="Verdana"/>
          <w:sz w:val="20"/>
          <w:szCs w:val="20"/>
        </w:rPr>
        <w:t xml:space="preserve"> (SFC)</w:t>
      </w:r>
      <w:r w:rsidRPr="00930253">
        <w:rPr>
          <w:rFonts w:ascii="Verdana" w:hAnsi="Verdana"/>
          <w:sz w:val="20"/>
          <w:szCs w:val="20"/>
        </w:rPr>
        <w:t xml:space="preserve">, el primer día hábil de cada semana, el formato </w:t>
      </w:r>
      <w:r w:rsidR="00D8330B">
        <w:rPr>
          <w:rFonts w:ascii="Verdana" w:hAnsi="Verdana"/>
          <w:sz w:val="20"/>
          <w:szCs w:val="20"/>
        </w:rPr>
        <w:t>publicado para el efecto en la página web de la SFC</w:t>
      </w:r>
      <w:r w:rsidRPr="00930253">
        <w:rPr>
          <w:rFonts w:ascii="Verdana" w:hAnsi="Verdana"/>
          <w:sz w:val="20"/>
          <w:szCs w:val="20"/>
        </w:rPr>
        <w:t>, con los flujos esperados de ingresos y egresos de caja en las bandas de tiempo antes señaladas, para las posiciones y rubros que presenten vencimientos en fechas prestablecidas.</w:t>
      </w:r>
    </w:p>
    <w:p w14:paraId="453B3D53" w14:textId="77777777" w:rsidR="000F3359" w:rsidRPr="00930253" w:rsidRDefault="000F3359" w:rsidP="00930253">
      <w:pPr>
        <w:jc w:val="both"/>
        <w:rPr>
          <w:rFonts w:ascii="Verdana" w:hAnsi="Verdana"/>
          <w:sz w:val="20"/>
          <w:szCs w:val="20"/>
        </w:rPr>
      </w:pPr>
    </w:p>
    <w:p w14:paraId="0407B279" w14:textId="4A565295" w:rsidR="00C4501C" w:rsidRPr="000E0B7B" w:rsidRDefault="00C4501C" w:rsidP="00C4501C">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9</w:t>
      </w:r>
      <w:r w:rsidRPr="000E0B7B">
        <w:rPr>
          <w:rFonts w:ascii="Verdana" w:hAnsi="Verdana"/>
          <w:sz w:val="20"/>
          <w:szCs w:val="20"/>
        </w:rPr>
        <w:t>.</w:t>
      </w:r>
    </w:p>
    <w:p w14:paraId="7132150F" w14:textId="5E89613D" w:rsidR="00930253" w:rsidRPr="00930253" w:rsidRDefault="00930253" w:rsidP="00930253">
      <w:pPr>
        <w:jc w:val="both"/>
        <w:rPr>
          <w:rFonts w:ascii="Verdana" w:hAnsi="Verdana"/>
          <w:sz w:val="20"/>
          <w:szCs w:val="20"/>
        </w:rPr>
      </w:pPr>
      <w:r w:rsidRPr="00930253">
        <w:rPr>
          <w:rFonts w:ascii="Verdana" w:hAnsi="Verdana"/>
          <w:sz w:val="20"/>
          <w:szCs w:val="20"/>
        </w:rPr>
        <w:t>Por homogeneidad de la información y para posibilitar el análisis y simulaciones por parte de la S</w:t>
      </w:r>
      <w:r w:rsidR="00835BBD">
        <w:rPr>
          <w:rFonts w:ascii="Verdana" w:hAnsi="Verdana"/>
          <w:sz w:val="20"/>
          <w:szCs w:val="20"/>
        </w:rPr>
        <w:t>FC</w:t>
      </w:r>
      <w:r w:rsidRPr="00930253">
        <w:rPr>
          <w:rFonts w:ascii="Verdana" w:hAnsi="Verdana"/>
          <w:sz w:val="20"/>
          <w:szCs w:val="20"/>
        </w:rPr>
        <w:t>, dicho reporte de liquidez sobre los rubros con vencimientos contractuales seguirá un procedimiento estándar para todas las entidades. Así, el reporte y el cálculo del IRL no debe contener en sí mismo proyecciones de futuras captaciones o colocaciones ni de cualesquiera otros flujos de ingresos o egresos respecto de los cuales no exista una fecha de vencimiento contractual.</w:t>
      </w:r>
    </w:p>
    <w:p w14:paraId="75F01B03" w14:textId="7F6EEF09" w:rsidR="00447EE9" w:rsidRPr="000E0B7B" w:rsidRDefault="00447EE9" w:rsidP="00447EE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10</w:t>
      </w:r>
      <w:r w:rsidRPr="000E0B7B">
        <w:rPr>
          <w:rFonts w:ascii="Verdana" w:hAnsi="Verdana"/>
          <w:sz w:val="20"/>
          <w:szCs w:val="20"/>
        </w:rPr>
        <w:t>.</w:t>
      </w:r>
    </w:p>
    <w:p w14:paraId="3398E98F" w14:textId="42033EBB" w:rsidR="00930253" w:rsidRPr="00930253" w:rsidRDefault="00930253" w:rsidP="00930253">
      <w:pPr>
        <w:tabs>
          <w:tab w:val="left" w:pos="142"/>
        </w:tabs>
        <w:jc w:val="both"/>
        <w:rPr>
          <w:rFonts w:ascii="Verdana" w:hAnsi="Verdana"/>
          <w:sz w:val="20"/>
          <w:szCs w:val="20"/>
        </w:rPr>
      </w:pPr>
      <w:r w:rsidRPr="00930253">
        <w:rPr>
          <w:rFonts w:ascii="Verdana" w:hAnsi="Verdana"/>
          <w:sz w:val="20"/>
          <w:szCs w:val="20"/>
        </w:rPr>
        <w:t xml:space="preserve">Ello significa que el reporte de riesgo de liquidez no debe contener ajuste alguno por factores de comportamiento histórico o proyectado u otro tipo de factores que pretendan reflejar determinada evolución prevista de los flujos, vale decir, fenómenos estacionales, índices de prepagos, moras, retrasos, renovación de depósitos, etc. Se exceptúan de esta regla, siempre que no formen parte de los activos líquidos, los títulos y/o valores con opción de prepagos, para los cuales </w:t>
      </w:r>
      <w:r w:rsidR="00220850">
        <w:rPr>
          <w:rFonts w:ascii="Verdana" w:hAnsi="Verdana"/>
          <w:sz w:val="20"/>
          <w:szCs w:val="20"/>
        </w:rPr>
        <w:t>(</w:t>
      </w:r>
      <w:r w:rsidRPr="00930253">
        <w:rPr>
          <w:rFonts w:ascii="Verdana" w:hAnsi="Verdana"/>
          <w:sz w:val="20"/>
          <w:szCs w:val="20"/>
        </w:rPr>
        <w:t>tal como se haya autorizado para efectos de su valoración</w:t>
      </w:r>
      <w:r w:rsidR="00220850">
        <w:rPr>
          <w:rFonts w:ascii="Verdana" w:hAnsi="Verdana"/>
          <w:sz w:val="20"/>
          <w:szCs w:val="20"/>
        </w:rPr>
        <w:t>)</w:t>
      </w:r>
      <w:r w:rsidRPr="00930253">
        <w:rPr>
          <w:rFonts w:ascii="Verdana" w:hAnsi="Verdana"/>
          <w:sz w:val="20"/>
          <w:szCs w:val="20"/>
        </w:rPr>
        <w:t xml:space="preserve"> los rendimientos y las fechas de pago son los que resultan de proyectar los flujos futuros del título, </w:t>
      </w:r>
      <w:r w:rsidR="00B674A3">
        <w:rPr>
          <w:rFonts w:ascii="Verdana" w:hAnsi="Verdana"/>
          <w:sz w:val="20"/>
          <w:szCs w:val="20"/>
        </w:rPr>
        <w:t xml:space="preserve">valorados </w:t>
      </w:r>
      <w:r w:rsidRPr="00930253">
        <w:rPr>
          <w:rFonts w:ascii="Verdana" w:hAnsi="Verdana"/>
          <w:sz w:val="20"/>
          <w:szCs w:val="20"/>
        </w:rPr>
        <w:t xml:space="preserve">de conformidad con lo dispuesto </w:t>
      </w:r>
      <w:r w:rsidRPr="00675509">
        <w:rPr>
          <w:rFonts w:ascii="Verdana" w:hAnsi="Verdana"/>
          <w:sz w:val="20"/>
          <w:szCs w:val="20"/>
        </w:rPr>
        <w:t>en el</w:t>
      </w:r>
      <w:r w:rsidR="004F3D6D">
        <w:rPr>
          <w:rFonts w:ascii="Verdana" w:hAnsi="Verdana"/>
          <w:sz w:val="20"/>
          <w:szCs w:val="20"/>
        </w:rPr>
        <w:t xml:space="preserve"> literal (c) del</w:t>
      </w:r>
      <w:r w:rsidRPr="00675509">
        <w:rPr>
          <w:rFonts w:ascii="Verdana" w:hAnsi="Verdana"/>
          <w:sz w:val="20"/>
          <w:szCs w:val="20"/>
        </w:rPr>
        <w:t xml:space="preserve"> </w:t>
      </w:r>
      <w:r w:rsidR="00616301" w:rsidRPr="00675509">
        <w:rPr>
          <w:rFonts w:ascii="Verdana" w:hAnsi="Verdana"/>
          <w:sz w:val="20"/>
          <w:szCs w:val="20"/>
        </w:rPr>
        <w:t>párrafo</w:t>
      </w:r>
      <w:r w:rsidR="00616301">
        <w:rPr>
          <w:rFonts w:ascii="Verdana" w:hAnsi="Verdana"/>
          <w:sz w:val="20"/>
          <w:szCs w:val="20"/>
        </w:rPr>
        <w:t xml:space="preserve"> 3.4.1.36. de la </w:t>
      </w:r>
      <w:r w:rsidR="00412684">
        <w:rPr>
          <w:rFonts w:ascii="Verdana" w:hAnsi="Verdana"/>
          <w:sz w:val="20"/>
          <w:szCs w:val="20"/>
        </w:rPr>
        <w:t>CBF</w:t>
      </w:r>
      <w:r w:rsidR="00616301">
        <w:rPr>
          <w:rFonts w:ascii="Verdana" w:hAnsi="Verdana"/>
          <w:sz w:val="20"/>
          <w:szCs w:val="20"/>
        </w:rPr>
        <w:t xml:space="preserve">. </w:t>
      </w:r>
    </w:p>
    <w:p w14:paraId="7859CE8A" w14:textId="71D7F964" w:rsidR="00F26D40" w:rsidRPr="000E0B7B" w:rsidRDefault="00F26D40" w:rsidP="00F26D4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11</w:t>
      </w:r>
      <w:r w:rsidRPr="000E0B7B">
        <w:rPr>
          <w:rFonts w:ascii="Verdana" w:hAnsi="Verdana"/>
          <w:sz w:val="20"/>
          <w:szCs w:val="20"/>
        </w:rPr>
        <w:t>.</w:t>
      </w:r>
    </w:p>
    <w:p w14:paraId="4B2E73B3" w14:textId="77777777" w:rsidR="00930253" w:rsidRPr="00930253" w:rsidRDefault="00930253" w:rsidP="00930253">
      <w:pPr>
        <w:jc w:val="both"/>
        <w:rPr>
          <w:rFonts w:ascii="Verdana" w:hAnsi="Verdana"/>
          <w:sz w:val="20"/>
          <w:szCs w:val="20"/>
        </w:rPr>
      </w:pPr>
      <w:r w:rsidRPr="00930253">
        <w:rPr>
          <w:rFonts w:ascii="Verdana" w:hAnsi="Verdana"/>
          <w:sz w:val="20"/>
          <w:szCs w:val="20"/>
        </w:rPr>
        <w:t xml:space="preserve">No obstante, lo anterior, </w:t>
      </w:r>
      <w:r w:rsidRPr="00E6118B">
        <w:rPr>
          <w:rFonts w:ascii="Verdana" w:hAnsi="Verdana"/>
          <w:sz w:val="20"/>
          <w:szCs w:val="20"/>
        </w:rPr>
        <w:t>cuando se trate del reporte de los flujos de caja contenidos en las unidades de captura de la 01 a la 04, columnas 8 a la 19, del formato 458, las entidades deben reportar los flujos de ingresos y egresos teniendo en cuenta, además, los factores de comportamiento histórico o proyectado.</w:t>
      </w:r>
    </w:p>
    <w:p w14:paraId="4CAFB77C" w14:textId="51C5DA54" w:rsidR="006150CF" w:rsidRPr="000E0B7B" w:rsidRDefault="006150CF" w:rsidP="006150C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12</w:t>
      </w:r>
      <w:r w:rsidRPr="000E0B7B">
        <w:rPr>
          <w:rFonts w:ascii="Verdana" w:hAnsi="Verdana"/>
          <w:sz w:val="20"/>
          <w:szCs w:val="20"/>
        </w:rPr>
        <w:t>.</w:t>
      </w:r>
    </w:p>
    <w:p w14:paraId="7E841A87" w14:textId="5819B80D" w:rsidR="00930253" w:rsidRPr="00930253" w:rsidRDefault="00930253" w:rsidP="00930253">
      <w:pPr>
        <w:jc w:val="both"/>
        <w:rPr>
          <w:rFonts w:ascii="Verdana" w:hAnsi="Verdana"/>
          <w:sz w:val="20"/>
          <w:szCs w:val="20"/>
        </w:rPr>
      </w:pPr>
      <w:r w:rsidRPr="00930253">
        <w:rPr>
          <w:rFonts w:ascii="Verdana" w:hAnsi="Verdana"/>
          <w:sz w:val="20"/>
          <w:szCs w:val="20"/>
        </w:rPr>
        <w:t xml:space="preserve">Los flujos netos correspondientes a operaciones de contado se contabilizarán desde la fecha de negociación en la banda de tiempo que corresponda al cumplimiento de la operación, teniendo en cuenta el valor razonable del título o valor de la divisa objeto de la operación. </w:t>
      </w:r>
    </w:p>
    <w:p w14:paraId="546BF876" w14:textId="240F935B" w:rsidR="004109F3" w:rsidRPr="000E0B7B" w:rsidRDefault="004109F3" w:rsidP="004109F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13</w:t>
      </w:r>
      <w:r w:rsidRPr="000E0B7B">
        <w:rPr>
          <w:rFonts w:ascii="Verdana" w:hAnsi="Verdana"/>
          <w:sz w:val="20"/>
          <w:szCs w:val="20"/>
        </w:rPr>
        <w:t>.</w:t>
      </w:r>
    </w:p>
    <w:p w14:paraId="285C35A2" w14:textId="3EE50387" w:rsidR="00930253" w:rsidRPr="00930253" w:rsidRDefault="00930253" w:rsidP="00930253">
      <w:pPr>
        <w:jc w:val="both"/>
        <w:rPr>
          <w:rFonts w:ascii="Verdana" w:hAnsi="Verdana"/>
          <w:sz w:val="20"/>
          <w:szCs w:val="20"/>
        </w:rPr>
      </w:pPr>
      <w:r w:rsidRPr="00930253">
        <w:rPr>
          <w:rFonts w:ascii="Verdana" w:hAnsi="Verdana"/>
          <w:sz w:val="20"/>
          <w:szCs w:val="20"/>
        </w:rPr>
        <w:t>Si bien las entidades deben reportar en el formato semanal de evaluación del riesgo de liquidez</w:t>
      </w:r>
      <w:r w:rsidR="008618ED">
        <w:rPr>
          <w:rFonts w:ascii="Verdana" w:hAnsi="Verdana"/>
          <w:sz w:val="20"/>
          <w:szCs w:val="20"/>
        </w:rPr>
        <w:t>,</w:t>
      </w:r>
      <w:r w:rsidRPr="00930253">
        <w:rPr>
          <w:rFonts w:ascii="Verdana" w:hAnsi="Verdana"/>
          <w:sz w:val="20"/>
          <w:szCs w:val="20"/>
        </w:rPr>
        <w:t xml:space="preserve"> en las respectivas bandas de tiempo</w:t>
      </w:r>
      <w:r w:rsidR="008618ED">
        <w:rPr>
          <w:rFonts w:ascii="Verdana" w:hAnsi="Verdana"/>
          <w:sz w:val="20"/>
          <w:szCs w:val="20"/>
        </w:rPr>
        <w:t>,</w:t>
      </w:r>
      <w:r w:rsidRPr="00930253">
        <w:rPr>
          <w:rFonts w:ascii="Verdana" w:hAnsi="Verdana"/>
          <w:sz w:val="20"/>
          <w:szCs w:val="20"/>
        </w:rPr>
        <w:t xml:space="preserve"> el valor de todos los cupones y amortizaciones establecidos contractualmente, no deberán tener en cuenta en el momento de cuantificar los flujos netos de vencimientos contractuales que entran en el cálculo del Indicador de Riesgo de Liquidez, aquellos cupones, amortizaciones y pagos de dividendos que se esperan recibir en las bandas entre 1 y 30 días y que correspondan a inversiones que formen parte de los </w:t>
      </w:r>
      <w:r w:rsidR="00BA14D1">
        <w:rPr>
          <w:rFonts w:ascii="Verdana" w:hAnsi="Verdana"/>
          <w:sz w:val="20"/>
          <w:szCs w:val="20"/>
        </w:rPr>
        <w:t>a</w:t>
      </w:r>
      <w:r w:rsidRPr="00930253">
        <w:rPr>
          <w:rFonts w:ascii="Verdana" w:hAnsi="Verdana"/>
          <w:sz w:val="20"/>
          <w:szCs w:val="20"/>
        </w:rPr>
        <w:t xml:space="preserve">ctivos </w:t>
      </w:r>
      <w:r w:rsidR="00BA14D1">
        <w:rPr>
          <w:rFonts w:ascii="Verdana" w:hAnsi="Verdana"/>
          <w:sz w:val="20"/>
          <w:szCs w:val="20"/>
        </w:rPr>
        <w:t>l</w:t>
      </w:r>
      <w:r w:rsidRPr="00930253">
        <w:rPr>
          <w:rFonts w:ascii="Verdana" w:hAnsi="Verdana"/>
          <w:sz w:val="20"/>
          <w:szCs w:val="20"/>
        </w:rPr>
        <w:t xml:space="preserve">íquidos. De esta manera, se evita que tales cupones, amortizaciones y pagos de dividendos sean considerados dos veces dentro del Indicador, una como parte de los </w:t>
      </w:r>
      <w:r w:rsidR="00BA14D1">
        <w:rPr>
          <w:rFonts w:ascii="Verdana" w:hAnsi="Verdana"/>
          <w:sz w:val="20"/>
          <w:szCs w:val="20"/>
        </w:rPr>
        <w:t>a</w:t>
      </w:r>
      <w:r w:rsidRPr="00930253">
        <w:rPr>
          <w:rFonts w:ascii="Verdana" w:hAnsi="Verdana"/>
          <w:sz w:val="20"/>
          <w:szCs w:val="20"/>
        </w:rPr>
        <w:t xml:space="preserve">ctivos </w:t>
      </w:r>
      <w:r w:rsidR="00BA14D1">
        <w:rPr>
          <w:rFonts w:ascii="Verdana" w:hAnsi="Verdana"/>
          <w:sz w:val="20"/>
          <w:szCs w:val="20"/>
        </w:rPr>
        <w:t>l</w:t>
      </w:r>
      <w:r w:rsidRPr="00930253">
        <w:rPr>
          <w:rFonts w:ascii="Verdana" w:hAnsi="Verdana"/>
          <w:sz w:val="20"/>
          <w:szCs w:val="20"/>
        </w:rPr>
        <w:t>íquidos y otra como flujos de ingresos contractuales.</w:t>
      </w:r>
    </w:p>
    <w:p w14:paraId="5FE9C8F4" w14:textId="4FCA0003" w:rsidR="00D51FFD" w:rsidRPr="000E0B7B" w:rsidRDefault="00D51FFD" w:rsidP="00D51FFD">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14</w:t>
      </w:r>
      <w:r w:rsidRPr="000E0B7B">
        <w:rPr>
          <w:rFonts w:ascii="Verdana" w:hAnsi="Verdana"/>
          <w:sz w:val="20"/>
          <w:szCs w:val="20"/>
        </w:rPr>
        <w:t>.</w:t>
      </w:r>
    </w:p>
    <w:p w14:paraId="44E86324" w14:textId="1C1B2EED" w:rsidR="00930253" w:rsidRPr="00930253" w:rsidRDefault="00930253" w:rsidP="00930253">
      <w:pPr>
        <w:jc w:val="both"/>
        <w:rPr>
          <w:rFonts w:ascii="Verdana" w:hAnsi="Verdana"/>
          <w:sz w:val="20"/>
          <w:szCs w:val="20"/>
        </w:rPr>
      </w:pPr>
      <w:r w:rsidRPr="00930253">
        <w:rPr>
          <w:rFonts w:ascii="Verdana" w:hAnsi="Verdana"/>
          <w:sz w:val="20"/>
          <w:szCs w:val="20"/>
        </w:rPr>
        <w:t>Por otra parte, el formato de reporte semanal estará habilitado para que las entidades informen los flujos de caja reales que tuvieron la semana inmediatamente anterior, lo cual permitirá al organismo de supervisión y control conocer la evolución de los porcentajes de renovación de CDT y CDAT, así como también de las captaciones y colocaciones nuevas de cada entidad, para ser tenidas en cuenta en las simulaciones y análisis que efectúe la SFC. Entiéndase por renovación de CDT y CDAT, aquellas que se realicen por el mismo titular, dentro del periodo de gracia establecido por cada entidad para el efecto, hasta por el monto del CDT o CDAT inicial, independientemente de la tasa y/o el plazo.</w:t>
      </w:r>
    </w:p>
    <w:p w14:paraId="18666062" w14:textId="19F3569E" w:rsidR="0056225A" w:rsidRPr="000E0B7B" w:rsidRDefault="0056225A" w:rsidP="0056225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15</w:t>
      </w:r>
      <w:r w:rsidRPr="000E0B7B">
        <w:rPr>
          <w:rFonts w:ascii="Verdana" w:hAnsi="Verdana"/>
          <w:sz w:val="20"/>
          <w:szCs w:val="20"/>
        </w:rPr>
        <w:t>.</w:t>
      </w:r>
    </w:p>
    <w:p w14:paraId="3085738B" w14:textId="77777777" w:rsidR="00930253" w:rsidRPr="00930253" w:rsidRDefault="00930253" w:rsidP="00930253">
      <w:pPr>
        <w:jc w:val="both"/>
        <w:rPr>
          <w:rFonts w:ascii="Verdana" w:hAnsi="Verdana"/>
          <w:sz w:val="20"/>
          <w:szCs w:val="20"/>
        </w:rPr>
      </w:pPr>
      <w:r w:rsidRPr="00930253">
        <w:rPr>
          <w:rFonts w:ascii="Verdana" w:hAnsi="Verdana"/>
          <w:sz w:val="20"/>
          <w:szCs w:val="20"/>
        </w:rPr>
        <w:t>En todo caso, para la medición del requerimiento de liquidez por vencimientos contractuales, en ninguna de las bandas de tiempo del reporte deben las entidades incluir flujo alguno de recaudos por concepto de cartera de cualquier tipo que se encuentre con una altura de mora superior a 30 días calendario. Además, el valor de los vencimientos contractuales de la cartera de créditos de la respectiva banda de tiempo debe multiplicarse por un factor igual a uno menos 0.5 veces el índice de cartera vencida total que haya registrado la respectiva entidad al cierre del mes inmediatamente anterior (1 – 0.5*[Índice de Cartera Vencida Total]). Esto con el fin de tener una aproximación prudencial –desde la perspectiva del ente supervisor- a los recaudos efectivos que podría tener cada entidad bajo un escenario moderado.</w:t>
      </w:r>
    </w:p>
    <w:p w14:paraId="0AAE5A5D" w14:textId="77777777" w:rsidR="00930253" w:rsidRPr="00930253" w:rsidRDefault="00930253" w:rsidP="00930253">
      <w:pPr>
        <w:jc w:val="both"/>
        <w:rPr>
          <w:rFonts w:ascii="Verdana" w:hAnsi="Verdana"/>
          <w:sz w:val="20"/>
          <w:szCs w:val="20"/>
        </w:rPr>
      </w:pPr>
    </w:p>
    <w:p w14:paraId="2B9442C3" w14:textId="21C672FA" w:rsidR="00930253" w:rsidRPr="00930253" w:rsidRDefault="00930253" w:rsidP="00EE3C71">
      <w:pPr>
        <w:jc w:val="both"/>
        <w:rPr>
          <w:rFonts w:ascii="Verdana" w:hAnsi="Verdana"/>
          <w:sz w:val="20"/>
          <w:szCs w:val="20"/>
        </w:rPr>
      </w:pPr>
      <w:r w:rsidRPr="003B1055">
        <w:rPr>
          <w:rFonts w:ascii="Verdana" w:hAnsi="Verdana"/>
          <w:b/>
          <w:bCs/>
          <w:sz w:val="20"/>
          <w:szCs w:val="20"/>
        </w:rPr>
        <w:lastRenderedPageBreak/>
        <w:t>Medición del requerimiento de liquidez que no obedece a vencimientos contractuales (</w:t>
      </w:r>
      <w:r w:rsidR="006F7498">
        <w:rPr>
          <w:rFonts w:ascii="Verdana" w:hAnsi="Verdana"/>
          <w:b/>
          <w:bCs/>
          <w:sz w:val="20"/>
          <w:szCs w:val="20"/>
        </w:rPr>
        <w:t>f</w:t>
      </w:r>
      <w:r w:rsidRPr="003B1055">
        <w:rPr>
          <w:rFonts w:ascii="Verdana" w:hAnsi="Verdana"/>
          <w:b/>
          <w:bCs/>
          <w:sz w:val="20"/>
          <w:szCs w:val="20"/>
        </w:rPr>
        <w:t xml:space="preserve">lujo </w:t>
      </w:r>
      <w:r w:rsidR="006F7498">
        <w:rPr>
          <w:rFonts w:ascii="Verdana" w:hAnsi="Verdana"/>
          <w:b/>
          <w:bCs/>
          <w:sz w:val="20"/>
          <w:szCs w:val="20"/>
        </w:rPr>
        <w:t>n</w:t>
      </w:r>
      <w:r w:rsidRPr="003B1055">
        <w:rPr>
          <w:rFonts w:ascii="Verdana" w:hAnsi="Verdana"/>
          <w:b/>
          <w:bCs/>
          <w:sz w:val="20"/>
          <w:szCs w:val="20"/>
        </w:rPr>
        <w:t xml:space="preserve">eto de </w:t>
      </w:r>
      <w:r w:rsidR="006F7498">
        <w:rPr>
          <w:rFonts w:ascii="Verdana" w:hAnsi="Verdana"/>
          <w:b/>
          <w:bCs/>
          <w:sz w:val="20"/>
          <w:szCs w:val="20"/>
        </w:rPr>
        <w:t>v</w:t>
      </w:r>
      <w:r w:rsidRPr="003B1055">
        <w:rPr>
          <w:rFonts w:ascii="Verdana" w:hAnsi="Verdana"/>
          <w:b/>
          <w:bCs/>
          <w:sz w:val="20"/>
          <w:szCs w:val="20"/>
        </w:rPr>
        <w:t xml:space="preserve">encimientos No </w:t>
      </w:r>
      <w:r w:rsidR="003F573E">
        <w:rPr>
          <w:rFonts w:ascii="Verdana" w:hAnsi="Verdana"/>
          <w:b/>
          <w:bCs/>
          <w:sz w:val="20"/>
          <w:szCs w:val="20"/>
        </w:rPr>
        <w:t>c</w:t>
      </w:r>
      <w:r w:rsidRPr="003B1055">
        <w:rPr>
          <w:rFonts w:ascii="Verdana" w:hAnsi="Verdana"/>
          <w:b/>
          <w:bCs/>
          <w:sz w:val="20"/>
          <w:szCs w:val="20"/>
        </w:rPr>
        <w:t>ontractuales – FNVNC)</w:t>
      </w:r>
    </w:p>
    <w:p w14:paraId="18DF2A92" w14:textId="0469FEE0" w:rsidR="00EE3C71" w:rsidRPr="000E0B7B" w:rsidRDefault="00EE3C71" w:rsidP="00EE3C71">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16</w:t>
      </w:r>
      <w:r w:rsidRPr="000E0B7B">
        <w:rPr>
          <w:rFonts w:ascii="Verdana" w:hAnsi="Verdana"/>
          <w:sz w:val="20"/>
          <w:szCs w:val="20"/>
        </w:rPr>
        <w:t>.</w:t>
      </w:r>
    </w:p>
    <w:p w14:paraId="71D1ED48" w14:textId="2F40529C" w:rsidR="00930253" w:rsidRPr="00930253" w:rsidRDefault="00930253" w:rsidP="00930253">
      <w:pPr>
        <w:jc w:val="both"/>
        <w:rPr>
          <w:rFonts w:ascii="Verdana" w:hAnsi="Verdana"/>
          <w:sz w:val="20"/>
          <w:szCs w:val="20"/>
        </w:rPr>
      </w:pPr>
      <w:r w:rsidRPr="00930253">
        <w:rPr>
          <w:rFonts w:ascii="Verdana" w:hAnsi="Verdana"/>
          <w:sz w:val="20"/>
          <w:szCs w:val="20"/>
        </w:rPr>
        <w:t>La estimación del flujo neto que no obedece a vencimientos contractuales, vale decir, de los probables retiros netos de caja originados en posiciones y rubros que no tienen vencimientos prestablecidos, debe efectuarse a partir del saldo de depósitos y exigibilidades que no está sujeto a vencimientos contractuales. Las entidades deben segmentar dichos depósitos y exigibilidades diariamente, según el promedio móvil del saldo de los últimos 30 días calendario, dentro de las siguientes categorías:</w:t>
      </w:r>
    </w:p>
    <w:p w14:paraId="1A4348A3" w14:textId="2C50F32A" w:rsidR="001177D3" w:rsidRPr="000E0B7B" w:rsidRDefault="001177D3" w:rsidP="001177D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17</w:t>
      </w:r>
      <w:r w:rsidRPr="000E0B7B">
        <w:rPr>
          <w:rFonts w:ascii="Verdana" w:hAnsi="Verdana"/>
          <w:sz w:val="20"/>
          <w:szCs w:val="20"/>
        </w:rPr>
        <w:t>.</w:t>
      </w:r>
    </w:p>
    <w:p w14:paraId="25AFA761" w14:textId="1D62A890" w:rsidR="00930253" w:rsidRPr="000505A9" w:rsidRDefault="00930253" w:rsidP="00EE3C71">
      <w:pPr>
        <w:jc w:val="both"/>
        <w:rPr>
          <w:rFonts w:ascii="Verdana" w:hAnsi="Verdana"/>
          <w:sz w:val="20"/>
          <w:szCs w:val="20"/>
          <w:lang w:val="es-ES_tradnl"/>
        </w:rPr>
      </w:pPr>
      <w:r w:rsidRPr="000505A9">
        <w:rPr>
          <w:rFonts w:ascii="Verdana" w:hAnsi="Verdana"/>
          <w:sz w:val="20"/>
          <w:szCs w:val="20"/>
        </w:rPr>
        <w:t xml:space="preserve">Minoristas: </w:t>
      </w:r>
      <w:r w:rsidRPr="000505A9">
        <w:rPr>
          <w:rFonts w:ascii="Verdana" w:hAnsi="Verdana"/>
          <w:sz w:val="20"/>
          <w:szCs w:val="20"/>
          <w:lang w:val="es-ES_tradnl"/>
        </w:rPr>
        <w:t>depósitos de personas naturales cuyo saldo promedio sea igual o inferior al monto del seguro de depósito establecido por FOGAFÍN o FOGACOOP, según corresponda.</w:t>
      </w:r>
    </w:p>
    <w:p w14:paraId="6CE94D63" w14:textId="5E064531" w:rsidR="000505A9" w:rsidRPr="000E0B7B" w:rsidRDefault="000505A9" w:rsidP="000505A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18</w:t>
      </w:r>
      <w:r w:rsidRPr="000E0B7B">
        <w:rPr>
          <w:rFonts w:ascii="Verdana" w:hAnsi="Verdana"/>
          <w:sz w:val="20"/>
          <w:szCs w:val="20"/>
        </w:rPr>
        <w:t>.</w:t>
      </w:r>
    </w:p>
    <w:p w14:paraId="61B09508" w14:textId="6BDD41DE" w:rsidR="00930253" w:rsidRPr="000505A9" w:rsidRDefault="00930253" w:rsidP="00EE3C71">
      <w:pPr>
        <w:jc w:val="both"/>
        <w:rPr>
          <w:rFonts w:ascii="Verdana" w:hAnsi="Verdana"/>
          <w:sz w:val="20"/>
          <w:szCs w:val="20"/>
          <w:lang w:val="es-ES_tradnl"/>
        </w:rPr>
      </w:pPr>
      <w:r w:rsidRPr="000505A9">
        <w:rPr>
          <w:rFonts w:ascii="Verdana" w:hAnsi="Verdana"/>
          <w:sz w:val="20"/>
          <w:szCs w:val="20"/>
        </w:rPr>
        <w:t>PYMES y personas naturales medianas:</w:t>
      </w:r>
      <w:r w:rsidRPr="000505A9">
        <w:rPr>
          <w:rFonts w:ascii="Verdana" w:hAnsi="Verdana"/>
          <w:sz w:val="20"/>
          <w:szCs w:val="20"/>
          <w:lang w:val="es-ES_tradnl"/>
        </w:rPr>
        <w:t xml:space="preserve"> depósitos de las personas jurídicas (distintas a las entidades vigiladas por la SFC) cuyo saldo promedio sea inferior o igual a 220 SMLMV del año correspondiente (Incluye entidades públicas no financieras y recursos de agentes extranjeros cuyo saldo promedio sea inferior o igual a 220 SMLMV del año correspondiente) y depósitos de las personas naturales cuyo saldo promedio sea superior al monto del seguro de depósito establecido por FOGAFÍN o FOGACOOP, según corresponda, e inferior o igual a 220 SMLMV del año correspondiente.</w:t>
      </w:r>
    </w:p>
    <w:p w14:paraId="04B11E7F" w14:textId="71AB3D96" w:rsidR="0018276C" w:rsidRPr="000E0B7B" w:rsidRDefault="0018276C" w:rsidP="0018276C">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19</w:t>
      </w:r>
      <w:r w:rsidRPr="000E0B7B">
        <w:rPr>
          <w:rFonts w:ascii="Verdana" w:hAnsi="Verdana"/>
          <w:sz w:val="20"/>
          <w:szCs w:val="20"/>
        </w:rPr>
        <w:t>.</w:t>
      </w:r>
    </w:p>
    <w:p w14:paraId="45B3FBE4" w14:textId="4B01630C" w:rsidR="00930253" w:rsidRPr="00930253" w:rsidRDefault="00930253" w:rsidP="00EE3C71">
      <w:pPr>
        <w:jc w:val="both"/>
        <w:rPr>
          <w:rFonts w:ascii="Verdana" w:hAnsi="Verdana"/>
          <w:sz w:val="20"/>
          <w:szCs w:val="20"/>
        </w:rPr>
      </w:pPr>
      <w:r w:rsidRPr="00930253">
        <w:rPr>
          <w:rFonts w:ascii="Verdana" w:hAnsi="Verdana"/>
          <w:sz w:val="20"/>
          <w:szCs w:val="20"/>
        </w:rPr>
        <w:t xml:space="preserve">Entidades financieras vigiladas: </w:t>
      </w:r>
      <w:r w:rsidRPr="002B2CA7">
        <w:rPr>
          <w:rFonts w:ascii="Verdana" w:hAnsi="Verdana"/>
          <w:sz w:val="20"/>
          <w:szCs w:val="20"/>
        </w:rPr>
        <w:t xml:space="preserve">depósitos </w:t>
      </w:r>
      <w:r w:rsidRPr="002B2CA7" w:rsidDel="00021CC5">
        <w:rPr>
          <w:rFonts w:ascii="Verdana" w:hAnsi="Verdana"/>
          <w:sz w:val="20"/>
          <w:szCs w:val="20"/>
        </w:rPr>
        <w:t xml:space="preserve">de las </w:t>
      </w:r>
      <w:r w:rsidRPr="002B2CA7">
        <w:rPr>
          <w:rFonts w:ascii="Verdana" w:hAnsi="Verdana"/>
          <w:sz w:val="20"/>
          <w:szCs w:val="20"/>
        </w:rPr>
        <w:t>entidades vigiladas por la SFC</w:t>
      </w:r>
      <w:r w:rsidRPr="00062058">
        <w:rPr>
          <w:rFonts w:ascii="Verdana" w:hAnsi="Verdana"/>
          <w:sz w:val="20"/>
          <w:szCs w:val="20"/>
        </w:rPr>
        <w:t xml:space="preserve">, </w:t>
      </w:r>
      <w:r w:rsidRPr="00BA0768">
        <w:rPr>
          <w:rFonts w:ascii="Verdana" w:hAnsi="Verdana"/>
          <w:sz w:val="20"/>
          <w:szCs w:val="20"/>
        </w:rPr>
        <w:t>los cuales</w:t>
      </w:r>
      <w:r w:rsidR="00DD20B7">
        <w:rPr>
          <w:rFonts w:ascii="Verdana" w:hAnsi="Verdana"/>
          <w:sz w:val="20"/>
          <w:szCs w:val="20"/>
        </w:rPr>
        <w:t xml:space="preserve"> </w:t>
      </w:r>
      <w:r w:rsidRPr="00BA0768" w:rsidDel="00DD20B7">
        <w:rPr>
          <w:rFonts w:ascii="Verdana" w:hAnsi="Verdana"/>
          <w:sz w:val="20"/>
          <w:szCs w:val="20"/>
        </w:rPr>
        <w:t>inclu</w:t>
      </w:r>
      <w:r w:rsidRPr="00BA0768" w:rsidDel="005533B5">
        <w:rPr>
          <w:rFonts w:ascii="Verdana" w:hAnsi="Verdana"/>
          <w:sz w:val="20"/>
          <w:szCs w:val="20"/>
        </w:rPr>
        <w:t xml:space="preserve">yen </w:t>
      </w:r>
      <w:r w:rsidR="008362C7">
        <w:rPr>
          <w:rFonts w:ascii="Verdana" w:hAnsi="Verdana"/>
          <w:sz w:val="20"/>
          <w:szCs w:val="20"/>
        </w:rPr>
        <w:t xml:space="preserve">además </w:t>
      </w:r>
      <w:r w:rsidRPr="00BA0768">
        <w:rPr>
          <w:rFonts w:ascii="Verdana" w:hAnsi="Verdana"/>
          <w:sz w:val="20"/>
          <w:szCs w:val="20"/>
        </w:rPr>
        <w:t xml:space="preserve">los depósitos a la vista </w:t>
      </w:r>
      <w:r w:rsidRPr="00BA0768" w:rsidDel="002F4721">
        <w:rPr>
          <w:rFonts w:ascii="Verdana" w:hAnsi="Verdana"/>
          <w:sz w:val="20"/>
          <w:szCs w:val="20"/>
        </w:rPr>
        <w:t xml:space="preserve">que corresponden a recursos </w:t>
      </w:r>
      <w:r w:rsidRPr="00BA0768">
        <w:rPr>
          <w:rFonts w:ascii="Verdana" w:hAnsi="Verdana"/>
          <w:sz w:val="20"/>
          <w:szCs w:val="20"/>
        </w:rPr>
        <w:t>de los fondos de pensiones obligatorias, fondos voluntarios de pensión, fondos de cesantías, fondos de inversión colectiva, fondos de capital privado, negocios fiduciarios y recursos del Fondo Nacional de Pensiones de la Entidades Territoriales (FONPET).</w:t>
      </w:r>
      <w:r w:rsidRPr="00062058">
        <w:rPr>
          <w:rFonts w:ascii="Verdana" w:hAnsi="Verdana"/>
          <w:sz w:val="20"/>
          <w:szCs w:val="20"/>
        </w:rPr>
        <w:t xml:space="preserve"> Se excluyen de dicho concepto, los depósitos a la vista que correspondan a recursos de los</w:t>
      </w:r>
      <w:r w:rsidRPr="00930253">
        <w:rPr>
          <w:rFonts w:ascii="Verdana" w:hAnsi="Verdana"/>
          <w:sz w:val="20"/>
          <w:szCs w:val="20"/>
        </w:rPr>
        <w:t xml:space="preserve"> fondos de inversión colectiva abiertos sin pacto de permanencia.</w:t>
      </w:r>
    </w:p>
    <w:p w14:paraId="7BB8D9EB" w14:textId="7FE8F412" w:rsidR="00590B22" w:rsidRPr="000E0B7B" w:rsidRDefault="00590B22" w:rsidP="00590B2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8A5A0C">
        <w:rPr>
          <w:rFonts w:ascii="Verdana" w:hAnsi="Verdana"/>
          <w:sz w:val="20"/>
          <w:szCs w:val="20"/>
        </w:rPr>
        <w:t>20</w:t>
      </w:r>
      <w:r w:rsidRPr="000E0B7B">
        <w:rPr>
          <w:rFonts w:ascii="Verdana" w:hAnsi="Verdana"/>
          <w:sz w:val="20"/>
          <w:szCs w:val="20"/>
        </w:rPr>
        <w:t>.</w:t>
      </w:r>
    </w:p>
    <w:p w14:paraId="24D325CF" w14:textId="1351FA3F" w:rsidR="00930253" w:rsidRPr="00590B22" w:rsidRDefault="00930253" w:rsidP="00590B22">
      <w:pPr>
        <w:jc w:val="both"/>
        <w:rPr>
          <w:rFonts w:ascii="Verdana" w:hAnsi="Verdana"/>
          <w:sz w:val="20"/>
          <w:szCs w:val="20"/>
        </w:rPr>
      </w:pPr>
      <w:r w:rsidRPr="00590B22">
        <w:rPr>
          <w:rFonts w:ascii="Verdana" w:hAnsi="Verdana"/>
          <w:sz w:val="20"/>
          <w:szCs w:val="20"/>
        </w:rPr>
        <w:t>Fondos de Inversión Colectiva abiertos sin pacto de permanencia.</w:t>
      </w:r>
    </w:p>
    <w:p w14:paraId="7F5D3651" w14:textId="391B36F1" w:rsidR="00897D02" w:rsidRPr="000E0B7B" w:rsidRDefault="00897D02" w:rsidP="00897D0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8A5A0C">
        <w:rPr>
          <w:rFonts w:ascii="Verdana" w:hAnsi="Verdana"/>
          <w:sz w:val="20"/>
          <w:szCs w:val="20"/>
        </w:rPr>
        <w:t>1</w:t>
      </w:r>
      <w:r w:rsidRPr="000E0B7B">
        <w:rPr>
          <w:rFonts w:ascii="Verdana" w:hAnsi="Verdana"/>
          <w:sz w:val="20"/>
          <w:szCs w:val="20"/>
        </w:rPr>
        <w:t>.</w:t>
      </w:r>
    </w:p>
    <w:p w14:paraId="5F7FD75C" w14:textId="75D45621" w:rsidR="00930253" w:rsidRPr="00930253" w:rsidRDefault="00930253" w:rsidP="00930253">
      <w:pPr>
        <w:jc w:val="both"/>
        <w:rPr>
          <w:rFonts w:ascii="Verdana" w:hAnsi="Verdana"/>
          <w:sz w:val="20"/>
          <w:szCs w:val="20"/>
          <w:lang w:val="es-ES_tradnl"/>
        </w:rPr>
      </w:pPr>
      <w:r w:rsidRPr="00930253">
        <w:rPr>
          <w:rFonts w:ascii="Verdana" w:hAnsi="Verdana"/>
          <w:sz w:val="20"/>
          <w:szCs w:val="20"/>
        </w:rPr>
        <w:t xml:space="preserve">Sector </w:t>
      </w:r>
      <w:r w:rsidR="00275F13">
        <w:rPr>
          <w:rFonts w:ascii="Verdana" w:hAnsi="Verdana"/>
          <w:sz w:val="20"/>
          <w:szCs w:val="20"/>
        </w:rPr>
        <w:t>g</w:t>
      </w:r>
      <w:r w:rsidRPr="00930253">
        <w:rPr>
          <w:rFonts w:ascii="Verdana" w:hAnsi="Verdana"/>
          <w:sz w:val="20"/>
          <w:szCs w:val="20"/>
        </w:rPr>
        <w:t>obierno no financiero: depósitos</w:t>
      </w:r>
      <w:r w:rsidRPr="00930253">
        <w:rPr>
          <w:rFonts w:ascii="Verdana" w:hAnsi="Verdana"/>
          <w:sz w:val="20"/>
          <w:szCs w:val="20"/>
          <w:lang w:val="es-ES_tradnl"/>
        </w:rPr>
        <w:t xml:space="preserve"> de entidades públicas no financieras cuyo saldo promedio sea superior a 220 SMLMV del año correspondiente (incluye sociedades de economía mixta y empresas industriales y comerciales del estado).</w:t>
      </w:r>
    </w:p>
    <w:p w14:paraId="5C054C6A" w14:textId="78240AFD" w:rsidR="00F60768" w:rsidRPr="000E0B7B" w:rsidRDefault="00F60768" w:rsidP="00F6076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8A5A0C">
        <w:rPr>
          <w:rFonts w:ascii="Verdana" w:hAnsi="Verdana"/>
          <w:sz w:val="20"/>
          <w:szCs w:val="20"/>
        </w:rPr>
        <w:t>2</w:t>
      </w:r>
      <w:r w:rsidRPr="000E0B7B">
        <w:rPr>
          <w:rFonts w:ascii="Verdana" w:hAnsi="Verdana"/>
          <w:sz w:val="20"/>
          <w:szCs w:val="20"/>
        </w:rPr>
        <w:t>.</w:t>
      </w:r>
    </w:p>
    <w:p w14:paraId="332FA70A" w14:textId="24366CAC" w:rsidR="00930253" w:rsidRPr="00930253" w:rsidRDefault="00930253" w:rsidP="00930253">
      <w:pPr>
        <w:jc w:val="both"/>
        <w:rPr>
          <w:rFonts w:ascii="Verdana" w:hAnsi="Verdana"/>
          <w:sz w:val="20"/>
          <w:szCs w:val="20"/>
          <w:lang w:val="es-ES_tradnl"/>
        </w:rPr>
      </w:pPr>
      <w:r w:rsidRPr="00930253">
        <w:rPr>
          <w:rFonts w:ascii="Verdana" w:hAnsi="Verdana"/>
          <w:sz w:val="20"/>
          <w:szCs w:val="20"/>
        </w:rPr>
        <w:t>Mayoristas extranjeros:</w:t>
      </w:r>
      <w:r w:rsidRPr="00930253">
        <w:rPr>
          <w:rFonts w:ascii="Verdana" w:hAnsi="Verdana"/>
          <w:sz w:val="20"/>
          <w:szCs w:val="20"/>
          <w:lang w:val="es-ES_tradnl"/>
        </w:rPr>
        <w:t xml:space="preserve"> depósitos de agentes extranjeros, ya sean personas naturales (incluyendo cónsules y diplomáticos) o jurídicas, o vehículos de ahorro e inversión de agentes extranjeros cuyo saldo promedio sea superior a 220 SMLMV del año correspondiente. (Incluye el valor de los saldos de inversión extranjera que se encuentre en depósitos).</w:t>
      </w:r>
    </w:p>
    <w:p w14:paraId="7D82D847" w14:textId="6F02FCD6" w:rsidR="00E7504A" w:rsidRPr="000E0B7B" w:rsidRDefault="00E7504A" w:rsidP="00E7504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8A5A0C">
        <w:rPr>
          <w:rFonts w:ascii="Verdana" w:hAnsi="Verdana"/>
          <w:sz w:val="20"/>
          <w:szCs w:val="20"/>
        </w:rPr>
        <w:t>3</w:t>
      </w:r>
      <w:r w:rsidRPr="000E0B7B">
        <w:rPr>
          <w:rFonts w:ascii="Verdana" w:hAnsi="Verdana"/>
          <w:sz w:val="20"/>
          <w:szCs w:val="20"/>
        </w:rPr>
        <w:t>.</w:t>
      </w:r>
    </w:p>
    <w:p w14:paraId="08462760" w14:textId="2ACFB5EC" w:rsidR="00930253" w:rsidRPr="00930253" w:rsidRDefault="00930253" w:rsidP="00930253">
      <w:pPr>
        <w:jc w:val="both"/>
        <w:rPr>
          <w:rFonts w:ascii="Verdana" w:hAnsi="Verdana"/>
          <w:sz w:val="20"/>
          <w:szCs w:val="20"/>
          <w:lang w:val="es-ES_tradnl"/>
        </w:rPr>
      </w:pPr>
      <w:r w:rsidRPr="00930253">
        <w:rPr>
          <w:rFonts w:ascii="Verdana" w:hAnsi="Verdana"/>
          <w:sz w:val="20"/>
          <w:szCs w:val="20"/>
        </w:rPr>
        <w:t xml:space="preserve">Mayoristas sector real y personas naturales grandes: </w:t>
      </w:r>
      <w:r w:rsidRPr="00930253">
        <w:rPr>
          <w:rFonts w:ascii="Verdana" w:hAnsi="Verdana"/>
          <w:sz w:val="20"/>
          <w:szCs w:val="20"/>
          <w:lang w:val="es-ES_tradnl"/>
        </w:rPr>
        <w:t>depósitos de personas naturales y jurídicas con depósitos cuyo saldo promedio sea superior a 220 SMLMV del año correspondiente y que no hagan parte de alguna de las categorías anteriores.</w:t>
      </w:r>
    </w:p>
    <w:p w14:paraId="31B87E3E" w14:textId="0B40CCD6" w:rsidR="003E1155" w:rsidRPr="000E0B7B" w:rsidRDefault="003E1155" w:rsidP="003E1155">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8A5A0C">
        <w:rPr>
          <w:rFonts w:ascii="Verdana" w:hAnsi="Verdana"/>
          <w:sz w:val="20"/>
          <w:szCs w:val="20"/>
        </w:rPr>
        <w:t>4</w:t>
      </w:r>
      <w:r w:rsidRPr="000E0B7B">
        <w:rPr>
          <w:rFonts w:ascii="Verdana" w:hAnsi="Verdana"/>
          <w:sz w:val="20"/>
          <w:szCs w:val="20"/>
        </w:rPr>
        <w:t>.</w:t>
      </w:r>
    </w:p>
    <w:p w14:paraId="5AC77A5E" w14:textId="76B2501E" w:rsidR="00930253" w:rsidRPr="00930253" w:rsidRDefault="00930253" w:rsidP="00930253">
      <w:pPr>
        <w:jc w:val="both"/>
        <w:rPr>
          <w:rFonts w:ascii="Verdana" w:hAnsi="Verdana"/>
          <w:sz w:val="20"/>
          <w:szCs w:val="20"/>
          <w:lang w:val="es-ES_tradnl"/>
        </w:rPr>
      </w:pPr>
      <w:r w:rsidRPr="00930253">
        <w:rPr>
          <w:rFonts w:ascii="Verdana" w:hAnsi="Verdana"/>
          <w:sz w:val="20"/>
          <w:szCs w:val="20"/>
          <w:lang w:val="es-ES_tradnl"/>
        </w:rPr>
        <w:t>Depósitos judiciales: todos los depósitos judiciales de personas naturales y jurídicas.</w:t>
      </w:r>
    </w:p>
    <w:p w14:paraId="121A4D31" w14:textId="006C0F03" w:rsidR="004D2061" w:rsidRPr="000E0B7B" w:rsidRDefault="004D2061" w:rsidP="004D2061">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8A5A0C">
        <w:rPr>
          <w:rFonts w:ascii="Verdana" w:hAnsi="Verdana"/>
          <w:sz w:val="20"/>
          <w:szCs w:val="20"/>
        </w:rPr>
        <w:t>5</w:t>
      </w:r>
      <w:r w:rsidRPr="000E0B7B">
        <w:rPr>
          <w:rFonts w:ascii="Verdana" w:hAnsi="Verdana"/>
          <w:sz w:val="20"/>
          <w:szCs w:val="20"/>
        </w:rPr>
        <w:t>.</w:t>
      </w:r>
    </w:p>
    <w:p w14:paraId="07BB7AD7" w14:textId="592837DE" w:rsidR="00930253" w:rsidRDefault="00930253" w:rsidP="00930253">
      <w:pPr>
        <w:jc w:val="both"/>
        <w:rPr>
          <w:rFonts w:ascii="Verdana" w:hAnsi="Verdana"/>
          <w:sz w:val="20"/>
          <w:szCs w:val="20"/>
          <w:lang w:val="es-ES"/>
        </w:rPr>
      </w:pPr>
      <w:proofErr w:type="gramStart"/>
      <w:r w:rsidRPr="00930253">
        <w:rPr>
          <w:rFonts w:ascii="Verdana" w:hAnsi="Verdana"/>
          <w:sz w:val="20"/>
          <w:szCs w:val="20"/>
          <w:lang w:val="es-ES"/>
        </w:rPr>
        <w:t>El procedimiento a seguir</w:t>
      </w:r>
      <w:proofErr w:type="gramEnd"/>
      <w:r w:rsidRPr="00930253">
        <w:rPr>
          <w:rFonts w:ascii="Verdana" w:hAnsi="Verdana"/>
          <w:sz w:val="20"/>
          <w:szCs w:val="20"/>
          <w:lang w:val="es-ES"/>
        </w:rPr>
        <w:t xml:space="preserve"> para la estimación del flujo neto que no obedece a vencimientos contractuales para cada una de las anteriores categorías es el siguiente:</w:t>
      </w:r>
    </w:p>
    <w:p w14:paraId="042C747E" w14:textId="601D6325" w:rsidR="002B74A3" w:rsidRPr="002B74A3" w:rsidRDefault="002B74A3" w:rsidP="002B74A3">
      <w:pPr>
        <w:pStyle w:val="Prrafodelista"/>
        <w:numPr>
          <w:ilvl w:val="0"/>
          <w:numId w:val="49"/>
        </w:numPr>
        <w:ind w:left="284" w:hanging="284"/>
        <w:jc w:val="both"/>
        <w:rPr>
          <w:rFonts w:ascii="Verdana" w:hAnsi="Verdana"/>
          <w:b/>
          <w:bCs/>
          <w:sz w:val="20"/>
          <w:szCs w:val="20"/>
        </w:rPr>
      </w:pPr>
      <w:r w:rsidRPr="002B74A3">
        <w:rPr>
          <w:rFonts w:ascii="Verdana" w:hAnsi="Verdana"/>
          <w:b/>
          <w:bCs/>
          <w:sz w:val="20"/>
          <w:szCs w:val="20"/>
        </w:rPr>
        <w:t>Paso 1</w:t>
      </w:r>
    </w:p>
    <w:p w14:paraId="536C8E69" w14:textId="21773C3D" w:rsidR="002904CD" w:rsidRPr="000E0B7B" w:rsidRDefault="002904CD" w:rsidP="002904CD">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293457">
        <w:rPr>
          <w:rFonts w:ascii="Verdana" w:hAnsi="Verdana"/>
          <w:sz w:val="20"/>
          <w:szCs w:val="20"/>
        </w:rPr>
        <w:t>6</w:t>
      </w:r>
      <w:r w:rsidRPr="000E0B7B">
        <w:rPr>
          <w:rFonts w:ascii="Verdana" w:hAnsi="Verdana"/>
          <w:sz w:val="20"/>
          <w:szCs w:val="20"/>
        </w:rPr>
        <w:t>.</w:t>
      </w:r>
    </w:p>
    <w:p w14:paraId="28393C2E" w14:textId="4DFC6AA0" w:rsidR="00930253" w:rsidRPr="00930253" w:rsidRDefault="00930253" w:rsidP="002904CD">
      <w:pPr>
        <w:spacing w:after="0" w:line="240" w:lineRule="auto"/>
        <w:jc w:val="both"/>
        <w:rPr>
          <w:rFonts w:ascii="Verdana" w:hAnsi="Verdana"/>
          <w:sz w:val="20"/>
          <w:szCs w:val="20"/>
        </w:rPr>
      </w:pPr>
      <w:r w:rsidRPr="00930253">
        <w:rPr>
          <w:rFonts w:ascii="Verdana" w:hAnsi="Verdana"/>
          <w:sz w:val="20"/>
          <w:szCs w:val="20"/>
          <w:lang w:val="es-ES_tradnl"/>
        </w:rPr>
        <w:t xml:space="preserve">Calcular la serie diaria de variaciones porcentuales a 30 días calendario de los saldos de los depósitos en las </w:t>
      </w:r>
      <w:r w:rsidR="003A582D">
        <w:rPr>
          <w:rFonts w:ascii="Verdana" w:hAnsi="Verdana"/>
          <w:sz w:val="20"/>
          <w:szCs w:val="20"/>
          <w:lang w:val="es-ES_tradnl"/>
        </w:rPr>
        <w:t>c</w:t>
      </w:r>
      <w:r w:rsidRPr="00930253">
        <w:rPr>
          <w:rFonts w:ascii="Verdana" w:hAnsi="Verdana"/>
          <w:sz w:val="20"/>
          <w:szCs w:val="20"/>
          <w:lang w:val="es-ES_tradnl"/>
        </w:rPr>
        <w:t xml:space="preserve">uentas </w:t>
      </w:r>
      <w:r w:rsidR="00CB7A95">
        <w:rPr>
          <w:rFonts w:ascii="Verdana" w:hAnsi="Verdana"/>
          <w:sz w:val="20"/>
          <w:szCs w:val="20"/>
          <w:lang w:val="es-ES_tradnl"/>
        </w:rPr>
        <w:t>c</w:t>
      </w:r>
      <w:r w:rsidRPr="00930253">
        <w:rPr>
          <w:rFonts w:ascii="Verdana" w:hAnsi="Verdana"/>
          <w:sz w:val="20"/>
          <w:szCs w:val="20"/>
          <w:lang w:val="es-ES_tradnl"/>
        </w:rPr>
        <w:t xml:space="preserve">orrientes, los </w:t>
      </w:r>
      <w:r w:rsidR="00CB7A95">
        <w:rPr>
          <w:rFonts w:ascii="Verdana" w:hAnsi="Verdana"/>
          <w:sz w:val="20"/>
          <w:szCs w:val="20"/>
          <w:lang w:val="es-ES_tradnl"/>
        </w:rPr>
        <w:t>d</w:t>
      </w:r>
      <w:r w:rsidRPr="00930253">
        <w:rPr>
          <w:rFonts w:ascii="Verdana" w:hAnsi="Verdana"/>
          <w:sz w:val="20"/>
          <w:szCs w:val="20"/>
          <w:lang w:val="es-ES_tradnl"/>
        </w:rPr>
        <w:t xml:space="preserve">epósitos </w:t>
      </w:r>
      <w:r w:rsidR="00CB7A95">
        <w:rPr>
          <w:rFonts w:ascii="Verdana" w:hAnsi="Verdana"/>
          <w:sz w:val="20"/>
          <w:szCs w:val="20"/>
          <w:lang w:val="es-ES_tradnl"/>
        </w:rPr>
        <w:t>s</w:t>
      </w:r>
      <w:r w:rsidRPr="00930253">
        <w:rPr>
          <w:rFonts w:ascii="Verdana" w:hAnsi="Verdana"/>
          <w:sz w:val="20"/>
          <w:szCs w:val="20"/>
          <w:lang w:val="es-ES_tradnl"/>
        </w:rPr>
        <w:t xml:space="preserve">imples, los </w:t>
      </w:r>
      <w:r w:rsidR="00CB7A95">
        <w:rPr>
          <w:rFonts w:ascii="Verdana" w:hAnsi="Verdana"/>
          <w:sz w:val="20"/>
          <w:szCs w:val="20"/>
          <w:lang w:val="es-ES_tradnl"/>
        </w:rPr>
        <w:t>d</w:t>
      </w:r>
      <w:r w:rsidRPr="00930253">
        <w:rPr>
          <w:rFonts w:ascii="Verdana" w:hAnsi="Verdana"/>
          <w:sz w:val="20"/>
          <w:szCs w:val="20"/>
          <w:lang w:val="es-ES_tradnl"/>
        </w:rPr>
        <w:t xml:space="preserve">epósitos de </w:t>
      </w:r>
      <w:r w:rsidR="00CB7A95">
        <w:rPr>
          <w:rFonts w:ascii="Verdana" w:hAnsi="Verdana"/>
          <w:sz w:val="20"/>
          <w:szCs w:val="20"/>
          <w:lang w:val="es-ES_tradnl"/>
        </w:rPr>
        <w:t>a</w:t>
      </w:r>
      <w:r w:rsidRPr="00930253">
        <w:rPr>
          <w:rFonts w:ascii="Verdana" w:hAnsi="Verdana"/>
          <w:sz w:val="20"/>
          <w:szCs w:val="20"/>
          <w:lang w:val="es-ES_tradnl"/>
        </w:rPr>
        <w:t xml:space="preserve">horro, los </w:t>
      </w:r>
      <w:r w:rsidR="00CB7A95">
        <w:rPr>
          <w:rFonts w:ascii="Verdana" w:hAnsi="Verdana"/>
          <w:sz w:val="20"/>
          <w:szCs w:val="20"/>
          <w:lang w:val="es-ES_tradnl"/>
        </w:rPr>
        <w:t>d</w:t>
      </w:r>
      <w:r w:rsidRPr="00930253">
        <w:rPr>
          <w:rFonts w:ascii="Verdana" w:hAnsi="Verdana"/>
          <w:sz w:val="20"/>
          <w:szCs w:val="20"/>
          <w:lang w:val="es-ES_tradnl"/>
        </w:rPr>
        <w:t xml:space="preserve">ocumentos por </w:t>
      </w:r>
      <w:r w:rsidR="00CB7A95">
        <w:rPr>
          <w:rFonts w:ascii="Verdana" w:hAnsi="Verdana"/>
          <w:sz w:val="20"/>
          <w:szCs w:val="20"/>
          <w:lang w:val="es-ES_tradnl"/>
        </w:rPr>
        <w:t>p</w:t>
      </w:r>
      <w:r w:rsidRPr="00930253">
        <w:rPr>
          <w:rFonts w:ascii="Verdana" w:hAnsi="Verdana"/>
          <w:sz w:val="20"/>
          <w:szCs w:val="20"/>
          <w:lang w:val="es-ES_tradnl"/>
        </w:rPr>
        <w:t xml:space="preserve">agar, las </w:t>
      </w:r>
      <w:r w:rsidR="00CB7A95">
        <w:rPr>
          <w:rFonts w:ascii="Verdana" w:hAnsi="Verdana"/>
          <w:sz w:val="20"/>
          <w:szCs w:val="20"/>
          <w:lang w:val="es-ES_tradnl"/>
        </w:rPr>
        <w:t>c</w:t>
      </w:r>
      <w:r w:rsidRPr="00930253">
        <w:rPr>
          <w:rFonts w:ascii="Verdana" w:hAnsi="Verdana"/>
          <w:sz w:val="20"/>
          <w:szCs w:val="20"/>
          <w:lang w:val="es-ES_tradnl"/>
        </w:rPr>
        <w:t xml:space="preserve">uentas </w:t>
      </w:r>
      <w:r w:rsidR="00CB7A95">
        <w:rPr>
          <w:rFonts w:ascii="Verdana" w:hAnsi="Verdana"/>
          <w:sz w:val="20"/>
          <w:szCs w:val="20"/>
          <w:lang w:val="es-ES_tradnl"/>
        </w:rPr>
        <w:t>c</w:t>
      </w:r>
      <w:r w:rsidRPr="00930253">
        <w:rPr>
          <w:rFonts w:ascii="Verdana" w:hAnsi="Verdana"/>
          <w:sz w:val="20"/>
          <w:szCs w:val="20"/>
          <w:lang w:val="es-ES_tradnl"/>
        </w:rPr>
        <w:t xml:space="preserve">entralizadas, los </w:t>
      </w:r>
      <w:r w:rsidR="00CB7A95">
        <w:rPr>
          <w:rFonts w:ascii="Verdana" w:hAnsi="Verdana"/>
          <w:sz w:val="20"/>
          <w:szCs w:val="20"/>
          <w:lang w:val="es-ES_tradnl"/>
        </w:rPr>
        <w:t>f</w:t>
      </w:r>
      <w:r w:rsidRPr="00930253">
        <w:rPr>
          <w:rFonts w:ascii="Verdana" w:hAnsi="Verdana"/>
          <w:sz w:val="20"/>
          <w:szCs w:val="20"/>
          <w:lang w:val="es-ES_tradnl"/>
        </w:rPr>
        <w:t xml:space="preserve">ondos en </w:t>
      </w:r>
      <w:r w:rsidR="00CB7A95">
        <w:rPr>
          <w:rFonts w:ascii="Verdana" w:hAnsi="Verdana"/>
          <w:sz w:val="20"/>
          <w:szCs w:val="20"/>
          <w:lang w:val="es-ES_tradnl"/>
        </w:rPr>
        <w:t>f</w:t>
      </w:r>
      <w:r w:rsidRPr="00930253">
        <w:rPr>
          <w:rFonts w:ascii="Verdana" w:hAnsi="Verdana"/>
          <w:sz w:val="20"/>
          <w:szCs w:val="20"/>
          <w:lang w:val="es-ES_tradnl"/>
        </w:rPr>
        <w:t xml:space="preserve">ideicomiso y </w:t>
      </w:r>
      <w:r w:rsidR="00CB7A95">
        <w:rPr>
          <w:rFonts w:ascii="Verdana" w:hAnsi="Verdana"/>
          <w:sz w:val="20"/>
          <w:szCs w:val="20"/>
          <w:lang w:val="es-ES_tradnl"/>
        </w:rPr>
        <w:t>c</w:t>
      </w:r>
      <w:r w:rsidRPr="00930253">
        <w:rPr>
          <w:rFonts w:ascii="Verdana" w:hAnsi="Verdana"/>
          <w:sz w:val="20"/>
          <w:szCs w:val="20"/>
          <w:lang w:val="es-ES_tradnl"/>
        </w:rPr>
        <w:t xml:space="preserve">uentas </w:t>
      </w:r>
      <w:r w:rsidR="00CB7A95">
        <w:rPr>
          <w:rFonts w:ascii="Verdana" w:hAnsi="Verdana"/>
          <w:sz w:val="20"/>
          <w:szCs w:val="20"/>
          <w:lang w:val="es-ES_tradnl"/>
        </w:rPr>
        <w:t>e</w:t>
      </w:r>
      <w:r w:rsidRPr="00930253">
        <w:rPr>
          <w:rFonts w:ascii="Verdana" w:hAnsi="Verdana"/>
          <w:sz w:val="20"/>
          <w:szCs w:val="20"/>
          <w:lang w:val="es-ES_tradnl"/>
        </w:rPr>
        <w:t xml:space="preserve">speciales, </w:t>
      </w:r>
      <w:r w:rsidR="00CB7A95">
        <w:rPr>
          <w:rFonts w:ascii="Verdana" w:hAnsi="Verdana"/>
          <w:sz w:val="20"/>
          <w:szCs w:val="20"/>
          <w:lang w:val="es-ES_tradnl"/>
        </w:rPr>
        <w:t>b</w:t>
      </w:r>
      <w:r w:rsidRPr="00930253">
        <w:rPr>
          <w:rFonts w:ascii="Verdana" w:hAnsi="Verdana"/>
          <w:sz w:val="20"/>
          <w:szCs w:val="20"/>
          <w:lang w:val="es-ES_tradnl"/>
        </w:rPr>
        <w:t xml:space="preserve">ancos y </w:t>
      </w:r>
      <w:r w:rsidR="00CB7A95">
        <w:rPr>
          <w:rFonts w:ascii="Verdana" w:hAnsi="Verdana"/>
          <w:sz w:val="20"/>
          <w:szCs w:val="20"/>
          <w:lang w:val="es-ES_tradnl"/>
        </w:rPr>
        <w:t>c</w:t>
      </w:r>
      <w:r w:rsidRPr="00930253">
        <w:rPr>
          <w:rFonts w:ascii="Verdana" w:hAnsi="Verdana"/>
          <w:sz w:val="20"/>
          <w:szCs w:val="20"/>
          <w:lang w:val="es-ES_tradnl"/>
        </w:rPr>
        <w:t xml:space="preserve">orresponsales, los </w:t>
      </w:r>
      <w:r w:rsidR="00CB7A95">
        <w:rPr>
          <w:rFonts w:ascii="Verdana" w:hAnsi="Verdana"/>
          <w:sz w:val="20"/>
          <w:szCs w:val="20"/>
          <w:lang w:val="es-ES_tradnl"/>
        </w:rPr>
        <w:t>d</w:t>
      </w:r>
      <w:r w:rsidRPr="00930253">
        <w:rPr>
          <w:rFonts w:ascii="Verdana" w:hAnsi="Verdana"/>
          <w:sz w:val="20"/>
          <w:szCs w:val="20"/>
          <w:lang w:val="es-ES_tradnl"/>
        </w:rPr>
        <w:t xml:space="preserve">epósitos </w:t>
      </w:r>
      <w:r w:rsidR="00CB7A95">
        <w:rPr>
          <w:rFonts w:ascii="Verdana" w:hAnsi="Verdana"/>
          <w:sz w:val="20"/>
          <w:szCs w:val="20"/>
          <w:lang w:val="es-ES_tradnl"/>
        </w:rPr>
        <w:t>e</w:t>
      </w:r>
      <w:r w:rsidRPr="00930253">
        <w:rPr>
          <w:rFonts w:ascii="Verdana" w:hAnsi="Verdana"/>
          <w:sz w:val="20"/>
          <w:szCs w:val="20"/>
          <w:lang w:val="es-ES_tradnl"/>
        </w:rPr>
        <w:t xml:space="preserve">speciales, las </w:t>
      </w:r>
      <w:r w:rsidR="00CB7A95">
        <w:rPr>
          <w:rFonts w:ascii="Verdana" w:hAnsi="Verdana"/>
          <w:sz w:val="20"/>
          <w:szCs w:val="20"/>
          <w:lang w:val="es-ES_tradnl"/>
        </w:rPr>
        <w:t>e</w:t>
      </w:r>
      <w:r w:rsidRPr="00930253">
        <w:rPr>
          <w:rFonts w:ascii="Verdana" w:hAnsi="Verdana"/>
          <w:sz w:val="20"/>
          <w:szCs w:val="20"/>
          <w:lang w:val="es-ES_tradnl"/>
        </w:rPr>
        <w:t xml:space="preserve">xigibilidades por </w:t>
      </w:r>
      <w:r w:rsidR="00CB7A95">
        <w:rPr>
          <w:rFonts w:ascii="Verdana" w:hAnsi="Verdana"/>
          <w:sz w:val="20"/>
          <w:szCs w:val="20"/>
          <w:lang w:val="es-ES_tradnl"/>
        </w:rPr>
        <w:t>s</w:t>
      </w:r>
      <w:r w:rsidRPr="00930253">
        <w:rPr>
          <w:rFonts w:ascii="Verdana" w:hAnsi="Verdana"/>
          <w:sz w:val="20"/>
          <w:szCs w:val="20"/>
          <w:lang w:val="es-ES_tradnl"/>
        </w:rPr>
        <w:t xml:space="preserve">ervicios, los </w:t>
      </w:r>
      <w:r w:rsidR="00CB7A95">
        <w:rPr>
          <w:rFonts w:ascii="Verdana" w:hAnsi="Verdana"/>
          <w:sz w:val="20"/>
          <w:szCs w:val="20"/>
          <w:lang w:val="es-ES_tradnl"/>
        </w:rPr>
        <w:t>s</w:t>
      </w:r>
      <w:r w:rsidRPr="00930253">
        <w:rPr>
          <w:rFonts w:ascii="Verdana" w:hAnsi="Verdana"/>
          <w:sz w:val="20"/>
          <w:szCs w:val="20"/>
          <w:lang w:val="es-ES_tradnl"/>
        </w:rPr>
        <w:t xml:space="preserve">ervicios de </w:t>
      </w:r>
      <w:r w:rsidR="00CB7A95">
        <w:rPr>
          <w:rFonts w:ascii="Verdana" w:hAnsi="Verdana"/>
          <w:sz w:val="20"/>
          <w:szCs w:val="20"/>
          <w:lang w:val="es-ES_tradnl"/>
        </w:rPr>
        <w:t>r</w:t>
      </w:r>
      <w:r w:rsidRPr="00930253">
        <w:rPr>
          <w:rFonts w:ascii="Verdana" w:hAnsi="Verdana"/>
          <w:sz w:val="20"/>
          <w:szCs w:val="20"/>
          <w:lang w:val="es-ES_tradnl"/>
        </w:rPr>
        <w:t xml:space="preserve">ecaudo, los </w:t>
      </w:r>
      <w:r w:rsidR="00CB7A95">
        <w:rPr>
          <w:rFonts w:ascii="Verdana" w:hAnsi="Verdana"/>
          <w:sz w:val="20"/>
          <w:szCs w:val="20"/>
          <w:lang w:val="es-ES_tradnl"/>
        </w:rPr>
        <w:t>e</w:t>
      </w:r>
      <w:r w:rsidRPr="00930253">
        <w:rPr>
          <w:rFonts w:ascii="Verdana" w:hAnsi="Verdana"/>
          <w:sz w:val="20"/>
          <w:szCs w:val="20"/>
          <w:lang w:val="es-ES_tradnl"/>
        </w:rPr>
        <w:t xml:space="preserve">stablecimientos </w:t>
      </w:r>
      <w:r w:rsidR="00CB7A95">
        <w:rPr>
          <w:rFonts w:ascii="Verdana" w:hAnsi="Verdana"/>
          <w:sz w:val="20"/>
          <w:szCs w:val="20"/>
          <w:lang w:val="es-ES_tradnl"/>
        </w:rPr>
        <w:t>a</w:t>
      </w:r>
      <w:r w:rsidRPr="00930253">
        <w:rPr>
          <w:rFonts w:ascii="Verdana" w:hAnsi="Verdana"/>
          <w:sz w:val="20"/>
          <w:szCs w:val="20"/>
          <w:lang w:val="es-ES_tradnl"/>
        </w:rPr>
        <w:t xml:space="preserve">filiados, los </w:t>
      </w:r>
      <w:r w:rsidR="00CB7A95">
        <w:rPr>
          <w:rFonts w:ascii="Verdana" w:hAnsi="Verdana"/>
          <w:sz w:val="20"/>
          <w:szCs w:val="20"/>
          <w:lang w:val="es-ES_tradnl"/>
        </w:rPr>
        <w:t>d</w:t>
      </w:r>
      <w:r w:rsidRPr="00930253">
        <w:rPr>
          <w:rFonts w:ascii="Verdana" w:hAnsi="Verdana"/>
          <w:sz w:val="20"/>
          <w:szCs w:val="20"/>
          <w:lang w:val="es-ES_tradnl"/>
        </w:rPr>
        <w:t xml:space="preserve">epósitos </w:t>
      </w:r>
      <w:r w:rsidR="00CB7A95">
        <w:rPr>
          <w:rFonts w:ascii="Verdana" w:hAnsi="Verdana"/>
          <w:sz w:val="20"/>
          <w:szCs w:val="20"/>
          <w:lang w:val="es-ES_tradnl"/>
        </w:rPr>
        <w:t>e</w:t>
      </w:r>
      <w:r w:rsidRPr="00930253">
        <w:rPr>
          <w:rFonts w:ascii="Verdana" w:hAnsi="Verdana"/>
          <w:sz w:val="20"/>
          <w:szCs w:val="20"/>
          <w:lang w:val="es-ES_tradnl"/>
        </w:rPr>
        <w:t xml:space="preserve">lectrónicos y los </w:t>
      </w:r>
      <w:r w:rsidR="00CB7A95">
        <w:rPr>
          <w:rFonts w:ascii="Verdana" w:hAnsi="Verdana"/>
          <w:sz w:val="20"/>
          <w:szCs w:val="20"/>
          <w:lang w:val="es-ES_tradnl"/>
        </w:rPr>
        <w:t>a</w:t>
      </w:r>
      <w:r w:rsidRPr="00930253">
        <w:rPr>
          <w:rFonts w:ascii="Verdana" w:hAnsi="Verdana"/>
          <w:sz w:val="20"/>
          <w:szCs w:val="20"/>
          <w:lang w:val="es-ES_tradnl"/>
        </w:rPr>
        <w:t xml:space="preserve">portes </w:t>
      </w:r>
      <w:r w:rsidR="00CB7A95">
        <w:rPr>
          <w:rFonts w:ascii="Verdana" w:hAnsi="Verdana"/>
          <w:sz w:val="20"/>
          <w:szCs w:val="20"/>
          <w:lang w:val="es-ES_tradnl"/>
        </w:rPr>
        <w:t>s</w:t>
      </w:r>
      <w:r w:rsidRPr="00930253">
        <w:rPr>
          <w:rFonts w:ascii="Verdana" w:hAnsi="Verdana"/>
          <w:sz w:val="20"/>
          <w:szCs w:val="20"/>
          <w:lang w:val="es-ES_tradnl"/>
        </w:rPr>
        <w:t xml:space="preserve">ociales (cuentas CUIF 2105, 2106, 2108 -excepto 210815- </w:t>
      </w:r>
      <w:r w:rsidRPr="00930253">
        <w:rPr>
          <w:rFonts w:ascii="Verdana" w:hAnsi="Verdana"/>
          <w:sz w:val="20"/>
          <w:szCs w:val="20"/>
          <w:lang w:val="es-ES_tradnl"/>
        </w:rPr>
        <w:lastRenderedPageBreak/>
        <w:t>2109, 2111, 2112, 2113, 2115, 2116, 2117, 2118, 2119, 2120</w:t>
      </w:r>
      <w:r w:rsidRPr="00930253">
        <w:rPr>
          <w:rFonts w:ascii="Verdana" w:hAnsi="Verdana"/>
          <w:sz w:val="20"/>
          <w:szCs w:val="20"/>
        </w:rPr>
        <w:t>, 3115), que haya presentado la respectiva entidad, utilizando información de saldos para un horizonte de tiempo comprendido entre enero 1 de 2011 y el último día hábil de la semana inmediatamente anterior a la fecha del reporte del riesgo de liquidez.</w:t>
      </w:r>
    </w:p>
    <w:p w14:paraId="4A848DD0" w14:textId="77777777" w:rsidR="002C2EC6" w:rsidRDefault="002C2EC6" w:rsidP="002C2EC6">
      <w:pPr>
        <w:spacing w:after="0"/>
        <w:rPr>
          <w:rFonts w:ascii="Verdana" w:hAnsi="Verdana"/>
          <w:sz w:val="20"/>
          <w:szCs w:val="20"/>
        </w:rPr>
      </w:pPr>
    </w:p>
    <w:p w14:paraId="6C3A1E5D" w14:textId="001390F4" w:rsidR="002C2EC6" w:rsidRPr="000E0B7B" w:rsidRDefault="002C2EC6" w:rsidP="002C2EC6">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293457">
        <w:rPr>
          <w:rFonts w:ascii="Verdana" w:hAnsi="Verdana"/>
          <w:sz w:val="20"/>
          <w:szCs w:val="20"/>
        </w:rPr>
        <w:t>27</w:t>
      </w:r>
      <w:r w:rsidRPr="000E0B7B">
        <w:rPr>
          <w:rFonts w:ascii="Verdana" w:hAnsi="Verdana"/>
          <w:sz w:val="20"/>
          <w:szCs w:val="20"/>
        </w:rPr>
        <w:t>.</w:t>
      </w:r>
    </w:p>
    <w:p w14:paraId="76FAF4B5" w14:textId="0576CA26" w:rsidR="00930253" w:rsidRPr="00930253" w:rsidRDefault="00930253" w:rsidP="002C2EC6">
      <w:pPr>
        <w:jc w:val="both"/>
        <w:rPr>
          <w:rFonts w:ascii="Verdana" w:hAnsi="Verdana"/>
          <w:sz w:val="20"/>
          <w:szCs w:val="20"/>
        </w:rPr>
      </w:pPr>
      <w:r w:rsidRPr="00930253">
        <w:rPr>
          <w:rFonts w:ascii="Verdana" w:hAnsi="Verdana"/>
          <w:sz w:val="20"/>
          <w:szCs w:val="20"/>
        </w:rPr>
        <w:t xml:space="preserve">De esta forma, se define el </w:t>
      </w:r>
      <w:r w:rsidR="008B5E74">
        <w:rPr>
          <w:rFonts w:ascii="Verdana" w:hAnsi="Verdana"/>
          <w:sz w:val="20"/>
          <w:szCs w:val="20"/>
        </w:rPr>
        <w:t>f</w:t>
      </w:r>
      <w:r w:rsidRPr="00930253">
        <w:rPr>
          <w:rFonts w:ascii="Verdana" w:hAnsi="Verdana"/>
          <w:sz w:val="20"/>
          <w:szCs w:val="20"/>
        </w:rPr>
        <w:t xml:space="preserve">actor de </w:t>
      </w:r>
      <w:r w:rsidR="008B5E74">
        <w:rPr>
          <w:rFonts w:ascii="Verdana" w:hAnsi="Verdana"/>
          <w:sz w:val="20"/>
          <w:szCs w:val="20"/>
        </w:rPr>
        <w:t>r</w:t>
      </w:r>
      <w:r w:rsidRPr="00930253">
        <w:rPr>
          <w:rFonts w:ascii="Verdana" w:hAnsi="Verdana"/>
          <w:sz w:val="20"/>
          <w:szCs w:val="20"/>
        </w:rPr>
        <w:t xml:space="preserve">etiros </w:t>
      </w:r>
      <w:r w:rsidR="008B5E74">
        <w:rPr>
          <w:rFonts w:ascii="Verdana" w:hAnsi="Verdana"/>
          <w:sz w:val="20"/>
          <w:szCs w:val="20"/>
        </w:rPr>
        <w:t>n</w:t>
      </w:r>
      <w:r w:rsidRPr="00930253">
        <w:rPr>
          <w:rFonts w:ascii="Verdana" w:hAnsi="Verdana"/>
          <w:sz w:val="20"/>
          <w:szCs w:val="20"/>
        </w:rPr>
        <w:t>etos (FRN) sobre depósitos y exigibilidades a la vista para cada una de las categorías, como la mediana calculada a partir de: (i) el percentil 0 de la serie de variaciones porcentuales descritas en el párrafo anterior, expresado con signo positivo</w:t>
      </w:r>
      <w:r w:rsidR="00B65611">
        <w:rPr>
          <w:rFonts w:ascii="Verdana" w:hAnsi="Verdana"/>
          <w:sz w:val="20"/>
          <w:szCs w:val="20"/>
        </w:rPr>
        <w:t>;</w:t>
      </w:r>
      <w:r w:rsidRPr="00930253">
        <w:rPr>
          <w:rFonts w:ascii="Verdana" w:hAnsi="Verdana"/>
          <w:sz w:val="20"/>
          <w:szCs w:val="20"/>
        </w:rPr>
        <w:t xml:space="preserve"> (ii) el percentil 5 de la serie de variaciones porcentuales descritas en el párrafo anterior, expresado con signo positivo</w:t>
      </w:r>
      <w:r w:rsidR="00B65611">
        <w:rPr>
          <w:rFonts w:ascii="Verdana" w:hAnsi="Verdana"/>
          <w:sz w:val="20"/>
          <w:szCs w:val="20"/>
        </w:rPr>
        <w:t>;</w:t>
      </w:r>
      <w:r w:rsidRPr="00930253">
        <w:rPr>
          <w:rFonts w:ascii="Verdana" w:hAnsi="Verdana"/>
          <w:sz w:val="20"/>
          <w:szCs w:val="20"/>
        </w:rPr>
        <w:t xml:space="preserve"> y (iii) alguno de los siguientes porcentajes, según corresponda:</w:t>
      </w:r>
    </w:p>
    <w:p w14:paraId="272E068D" w14:textId="08B84597"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rPr>
      </w:pPr>
      <w:r w:rsidRPr="00930253">
        <w:rPr>
          <w:rFonts w:ascii="Verdana" w:hAnsi="Verdana"/>
          <w:sz w:val="20"/>
          <w:szCs w:val="20"/>
        </w:rPr>
        <w:t>Minoristas: 7</w:t>
      </w:r>
      <w:r w:rsidR="00F00849">
        <w:rPr>
          <w:rFonts w:ascii="Verdana" w:hAnsi="Verdana"/>
          <w:sz w:val="20"/>
          <w:szCs w:val="20"/>
        </w:rPr>
        <w:t>,</w:t>
      </w:r>
      <w:r w:rsidRPr="00930253">
        <w:rPr>
          <w:rFonts w:ascii="Verdana" w:hAnsi="Verdana"/>
          <w:sz w:val="20"/>
          <w:szCs w:val="20"/>
        </w:rPr>
        <w:t>5%</w:t>
      </w:r>
    </w:p>
    <w:p w14:paraId="65D7E816" w14:textId="77777777" w:rsidR="002B74A3" w:rsidRDefault="002B74A3" w:rsidP="002B74A3">
      <w:pPr>
        <w:pStyle w:val="Prrafodelista"/>
        <w:spacing w:after="0" w:line="240" w:lineRule="auto"/>
        <w:ind w:left="567"/>
        <w:contextualSpacing w:val="0"/>
        <w:jc w:val="both"/>
        <w:rPr>
          <w:rFonts w:ascii="Verdana" w:hAnsi="Verdana"/>
          <w:sz w:val="20"/>
          <w:szCs w:val="20"/>
        </w:rPr>
      </w:pPr>
    </w:p>
    <w:p w14:paraId="2BBE11E9" w14:textId="13347FFD"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rPr>
      </w:pPr>
      <w:r w:rsidRPr="00930253">
        <w:rPr>
          <w:rFonts w:ascii="Verdana" w:hAnsi="Verdana"/>
          <w:sz w:val="20"/>
          <w:szCs w:val="20"/>
        </w:rPr>
        <w:t>PYMES y personas naturales medianas: 2</w:t>
      </w:r>
      <w:r w:rsidR="00F00849">
        <w:rPr>
          <w:rFonts w:ascii="Verdana" w:hAnsi="Verdana"/>
          <w:sz w:val="20"/>
          <w:szCs w:val="20"/>
        </w:rPr>
        <w:t>,</w:t>
      </w:r>
      <w:r w:rsidRPr="00930253">
        <w:rPr>
          <w:rFonts w:ascii="Verdana" w:hAnsi="Verdana"/>
          <w:sz w:val="20"/>
          <w:szCs w:val="20"/>
        </w:rPr>
        <w:t>5%</w:t>
      </w:r>
    </w:p>
    <w:p w14:paraId="4B7A88DC" w14:textId="77777777" w:rsidR="002B74A3" w:rsidRDefault="002B74A3" w:rsidP="002B74A3">
      <w:pPr>
        <w:pStyle w:val="Prrafodelista"/>
        <w:spacing w:after="0" w:line="240" w:lineRule="auto"/>
        <w:ind w:left="567"/>
        <w:contextualSpacing w:val="0"/>
        <w:jc w:val="both"/>
        <w:rPr>
          <w:rFonts w:ascii="Verdana" w:hAnsi="Verdana"/>
          <w:sz w:val="20"/>
          <w:szCs w:val="20"/>
        </w:rPr>
      </w:pPr>
    </w:p>
    <w:p w14:paraId="35C1E472" w14:textId="26EF757A"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rPr>
      </w:pPr>
      <w:r w:rsidRPr="00930253">
        <w:rPr>
          <w:rFonts w:ascii="Verdana" w:hAnsi="Verdana"/>
          <w:sz w:val="20"/>
          <w:szCs w:val="20"/>
        </w:rPr>
        <w:t>Entidades financieras vigiladas: 28%</w:t>
      </w:r>
    </w:p>
    <w:p w14:paraId="73A866A9" w14:textId="77777777" w:rsidR="002B74A3" w:rsidRDefault="002B74A3" w:rsidP="002B74A3">
      <w:pPr>
        <w:pStyle w:val="Prrafodelista"/>
        <w:spacing w:after="0" w:line="240" w:lineRule="auto"/>
        <w:ind w:left="567"/>
        <w:contextualSpacing w:val="0"/>
        <w:jc w:val="both"/>
        <w:rPr>
          <w:rFonts w:ascii="Verdana" w:hAnsi="Verdana"/>
          <w:sz w:val="20"/>
          <w:szCs w:val="20"/>
        </w:rPr>
      </w:pPr>
    </w:p>
    <w:p w14:paraId="6A65CA38" w14:textId="6428288C"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rPr>
      </w:pPr>
      <w:r w:rsidRPr="00930253">
        <w:rPr>
          <w:rFonts w:ascii="Verdana" w:hAnsi="Verdana"/>
          <w:sz w:val="20"/>
          <w:szCs w:val="20"/>
        </w:rPr>
        <w:t>Fondos de Inversión Colectiva abiertos sin pacto de permanencia: 28%</w:t>
      </w:r>
    </w:p>
    <w:p w14:paraId="64977FF3" w14:textId="77777777" w:rsidR="002B74A3" w:rsidRDefault="002B74A3" w:rsidP="002B74A3">
      <w:pPr>
        <w:pStyle w:val="Prrafodelista"/>
        <w:spacing w:after="0" w:line="240" w:lineRule="auto"/>
        <w:ind w:left="567"/>
        <w:contextualSpacing w:val="0"/>
        <w:jc w:val="both"/>
        <w:rPr>
          <w:rFonts w:ascii="Verdana" w:hAnsi="Verdana"/>
          <w:sz w:val="20"/>
          <w:szCs w:val="20"/>
        </w:rPr>
      </w:pPr>
    </w:p>
    <w:p w14:paraId="5E0BBA42" w14:textId="17E84AA4"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rPr>
      </w:pPr>
      <w:r w:rsidRPr="00930253">
        <w:rPr>
          <w:rFonts w:ascii="Verdana" w:hAnsi="Verdana"/>
          <w:sz w:val="20"/>
          <w:szCs w:val="20"/>
        </w:rPr>
        <w:t>Sector Gobierno no financiero: 19</w:t>
      </w:r>
      <w:r w:rsidR="00F00849">
        <w:rPr>
          <w:rFonts w:ascii="Verdana" w:hAnsi="Verdana"/>
          <w:sz w:val="20"/>
          <w:szCs w:val="20"/>
        </w:rPr>
        <w:t>,</w:t>
      </w:r>
      <w:r w:rsidRPr="00930253">
        <w:rPr>
          <w:rFonts w:ascii="Verdana" w:hAnsi="Verdana"/>
          <w:sz w:val="20"/>
          <w:szCs w:val="20"/>
        </w:rPr>
        <w:t>5%</w:t>
      </w:r>
    </w:p>
    <w:p w14:paraId="61CA4FCD" w14:textId="77777777" w:rsidR="002B74A3" w:rsidRPr="002B74A3" w:rsidRDefault="002B74A3" w:rsidP="002B74A3">
      <w:pPr>
        <w:pStyle w:val="Prrafodelista"/>
        <w:spacing w:after="0" w:line="240" w:lineRule="auto"/>
        <w:ind w:left="567"/>
        <w:contextualSpacing w:val="0"/>
        <w:jc w:val="both"/>
        <w:rPr>
          <w:rFonts w:ascii="Verdana" w:hAnsi="Verdana"/>
          <w:sz w:val="20"/>
          <w:szCs w:val="20"/>
          <w:lang w:val="es-ES_tradnl"/>
        </w:rPr>
      </w:pPr>
    </w:p>
    <w:p w14:paraId="02F54FBF" w14:textId="23146DF0"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lang w:val="es-ES_tradnl"/>
        </w:rPr>
      </w:pPr>
      <w:r w:rsidRPr="00930253">
        <w:rPr>
          <w:rFonts w:ascii="Verdana" w:hAnsi="Verdana"/>
          <w:sz w:val="20"/>
          <w:szCs w:val="20"/>
        </w:rPr>
        <w:t>Mayoristas extranjeros:</w:t>
      </w:r>
      <w:r w:rsidRPr="00930253">
        <w:rPr>
          <w:rFonts w:ascii="Verdana" w:hAnsi="Verdana"/>
          <w:sz w:val="20"/>
          <w:szCs w:val="20"/>
          <w:lang w:val="es-ES_tradnl"/>
        </w:rPr>
        <w:t xml:space="preserve"> 22%</w:t>
      </w:r>
    </w:p>
    <w:p w14:paraId="07FD31A4" w14:textId="77777777" w:rsidR="002B74A3" w:rsidRPr="002B74A3" w:rsidRDefault="002B74A3" w:rsidP="002B74A3">
      <w:pPr>
        <w:pStyle w:val="Prrafodelista"/>
        <w:spacing w:after="0" w:line="240" w:lineRule="auto"/>
        <w:ind w:left="567"/>
        <w:contextualSpacing w:val="0"/>
        <w:jc w:val="both"/>
        <w:rPr>
          <w:rFonts w:ascii="Verdana" w:hAnsi="Verdana"/>
          <w:sz w:val="20"/>
          <w:szCs w:val="20"/>
          <w:lang w:val="es-ES_tradnl"/>
        </w:rPr>
      </w:pPr>
    </w:p>
    <w:p w14:paraId="1800F6BB" w14:textId="29644D7B" w:rsidR="00930253" w:rsidRPr="00930253" w:rsidRDefault="00930253" w:rsidP="0066026B">
      <w:pPr>
        <w:pStyle w:val="Prrafodelista"/>
        <w:numPr>
          <w:ilvl w:val="0"/>
          <w:numId w:val="47"/>
        </w:numPr>
        <w:spacing w:after="0" w:line="240" w:lineRule="auto"/>
        <w:ind w:left="567" w:hanging="567"/>
        <w:contextualSpacing w:val="0"/>
        <w:jc w:val="both"/>
        <w:rPr>
          <w:rFonts w:ascii="Verdana" w:hAnsi="Verdana"/>
          <w:sz w:val="20"/>
          <w:szCs w:val="20"/>
          <w:lang w:val="es-ES_tradnl"/>
        </w:rPr>
      </w:pPr>
      <w:r w:rsidRPr="00930253">
        <w:rPr>
          <w:rFonts w:ascii="Verdana" w:hAnsi="Verdana"/>
          <w:sz w:val="20"/>
          <w:szCs w:val="20"/>
        </w:rPr>
        <w:t xml:space="preserve">Mayoristas sector real y personas naturales grandes: </w:t>
      </w:r>
      <w:r w:rsidRPr="00930253">
        <w:rPr>
          <w:rFonts w:ascii="Verdana" w:hAnsi="Verdana"/>
          <w:sz w:val="20"/>
          <w:szCs w:val="20"/>
          <w:lang w:val="es-ES_tradnl"/>
        </w:rPr>
        <w:t>11%</w:t>
      </w:r>
    </w:p>
    <w:p w14:paraId="43B73C44" w14:textId="77777777" w:rsidR="002B74A3" w:rsidRDefault="002B74A3" w:rsidP="002B74A3">
      <w:pPr>
        <w:pStyle w:val="Prrafodelista"/>
        <w:spacing w:after="0" w:line="240" w:lineRule="auto"/>
        <w:ind w:left="567"/>
        <w:contextualSpacing w:val="0"/>
        <w:jc w:val="both"/>
        <w:rPr>
          <w:rFonts w:ascii="Verdana" w:hAnsi="Verdana"/>
          <w:sz w:val="20"/>
          <w:szCs w:val="20"/>
          <w:lang w:val="es-ES_tradnl"/>
        </w:rPr>
      </w:pPr>
    </w:p>
    <w:p w14:paraId="1D49D97C" w14:textId="4DC6B8CF" w:rsidR="00930253" w:rsidRDefault="00930253" w:rsidP="002B74A3">
      <w:pPr>
        <w:pStyle w:val="Prrafodelista"/>
        <w:numPr>
          <w:ilvl w:val="0"/>
          <w:numId w:val="47"/>
        </w:numPr>
        <w:spacing w:after="0" w:line="240" w:lineRule="auto"/>
        <w:ind w:left="567" w:hanging="567"/>
        <w:contextualSpacing w:val="0"/>
        <w:jc w:val="both"/>
        <w:rPr>
          <w:rFonts w:ascii="Verdana" w:hAnsi="Verdana"/>
          <w:sz w:val="20"/>
          <w:szCs w:val="20"/>
          <w:lang w:val="es-ES_tradnl"/>
        </w:rPr>
      </w:pPr>
      <w:r w:rsidRPr="00930253">
        <w:rPr>
          <w:rFonts w:ascii="Verdana" w:hAnsi="Verdana"/>
          <w:sz w:val="20"/>
          <w:szCs w:val="20"/>
          <w:lang w:val="es-ES_tradnl"/>
        </w:rPr>
        <w:t>Depósitos judiciales: 3%</w:t>
      </w:r>
    </w:p>
    <w:p w14:paraId="0D277E99" w14:textId="77777777" w:rsidR="002B74A3" w:rsidRPr="002B74A3" w:rsidRDefault="002B74A3" w:rsidP="002B74A3">
      <w:pPr>
        <w:spacing w:after="0" w:line="240" w:lineRule="auto"/>
        <w:jc w:val="both"/>
        <w:rPr>
          <w:rFonts w:ascii="Verdana" w:hAnsi="Verdana"/>
          <w:sz w:val="20"/>
          <w:szCs w:val="20"/>
          <w:lang w:val="es-ES_tradnl"/>
        </w:rPr>
      </w:pPr>
    </w:p>
    <w:p w14:paraId="2C686263" w14:textId="3A624F9A" w:rsidR="0066026B" w:rsidRPr="000E0B7B" w:rsidRDefault="0066026B" w:rsidP="0066026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293457">
        <w:rPr>
          <w:rFonts w:ascii="Verdana" w:hAnsi="Verdana"/>
          <w:sz w:val="20"/>
          <w:szCs w:val="20"/>
        </w:rPr>
        <w:t>8</w:t>
      </w:r>
      <w:r w:rsidRPr="000E0B7B">
        <w:rPr>
          <w:rFonts w:ascii="Verdana" w:hAnsi="Verdana"/>
          <w:sz w:val="20"/>
          <w:szCs w:val="20"/>
        </w:rPr>
        <w:t>.</w:t>
      </w:r>
    </w:p>
    <w:p w14:paraId="35293068" w14:textId="1A664A11" w:rsidR="00930253" w:rsidRPr="00930253" w:rsidRDefault="00930253" w:rsidP="0066026B">
      <w:pPr>
        <w:jc w:val="both"/>
        <w:rPr>
          <w:rFonts w:ascii="Verdana" w:hAnsi="Verdana"/>
          <w:sz w:val="20"/>
          <w:szCs w:val="20"/>
        </w:rPr>
      </w:pPr>
      <w:r w:rsidRPr="00930253">
        <w:rPr>
          <w:rFonts w:ascii="Verdana" w:hAnsi="Verdana"/>
          <w:sz w:val="20"/>
          <w:szCs w:val="20"/>
        </w:rPr>
        <w:t>Así mismo, cuando las entidades no cuenten con saldos continuos en los últimos 3 años (anteriores a la fecha del reporte del riesgo de liquidez) en alguna de las anteriores categorías, deberán utilizar los porcentajes previamente relacionados.</w:t>
      </w:r>
    </w:p>
    <w:p w14:paraId="608E84B9" w14:textId="27BBF639" w:rsidR="00D13EAB" w:rsidRPr="000E0B7B" w:rsidRDefault="00D13EAB" w:rsidP="00D13EA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2</w:t>
      </w:r>
      <w:r w:rsidR="00293457">
        <w:rPr>
          <w:rFonts w:ascii="Verdana" w:hAnsi="Verdana"/>
          <w:sz w:val="20"/>
          <w:szCs w:val="20"/>
        </w:rPr>
        <w:t>9</w:t>
      </w:r>
      <w:r w:rsidRPr="000E0B7B">
        <w:rPr>
          <w:rFonts w:ascii="Verdana" w:hAnsi="Verdana"/>
          <w:sz w:val="20"/>
          <w:szCs w:val="20"/>
        </w:rPr>
        <w:t>.</w:t>
      </w:r>
    </w:p>
    <w:p w14:paraId="2032E589" w14:textId="77777777" w:rsidR="00930253" w:rsidRDefault="00930253" w:rsidP="00D13EAB">
      <w:pPr>
        <w:jc w:val="both"/>
        <w:rPr>
          <w:rFonts w:ascii="Verdana" w:hAnsi="Verdana"/>
          <w:sz w:val="20"/>
          <w:szCs w:val="20"/>
        </w:rPr>
      </w:pPr>
      <w:r w:rsidRPr="00930253">
        <w:rPr>
          <w:rFonts w:ascii="Verdana" w:hAnsi="Verdana"/>
          <w:sz w:val="20"/>
          <w:szCs w:val="20"/>
        </w:rPr>
        <w:t>Para el cálculo de dichos factores se deben integrar en una sola base los datos de las entidades que han sido objeto de procesos de fusión, adquisiciones o conversiones en el período histórico que se considera en el análisis, cuando así corresponda, con el fin de capturar mejor la naturaleza de los clientes y depósitos de las entidades que han resultado de tales reorganizaciones.</w:t>
      </w:r>
    </w:p>
    <w:p w14:paraId="74FC363E" w14:textId="335D9B4A" w:rsidR="002B74A3" w:rsidRPr="002B74A3" w:rsidRDefault="002B74A3" w:rsidP="00D13EAB">
      <w:pPr>
        <w:pStyle w:val="Prrafodelista"/>
        <w:numPr>
          <w:ilvl w:val="0"/>
          <w:numId w:val="49"/>
        </w:numPr>
        <w:ind w:left="284" w:hanging="284"/>
        <w:jc w:val="both"/>
        <w:rPr>
          <w:rFonts w:ascii="Verdana" w:hAnsi="Verdana"/>
          <w:b/>
          <w:bCs/>
          <w:sz w:val="20"/>
          <w:szCs w:val="20"/>
        </w:rPr>
      </w:pPr>
      <w:r w:rsidRPr="002B74A3">
        <w:rPr>
          <w:rFonts w:ascii="Verdana" w:hAnsi="Verdana"/>
          <w:b/>
          <w:bCs/>
          <w:sz w:val="20"/>
          <w:szCs w:val="20"/>
        </w:rPr>
        <w:t xml:space="preserve">Paso </w:t>
      </w:r>
      <w:r>
        <w:rPr>
          <w:rFonts w:ascii="Verdana" w:hAnsi="Verdana"/>
          <w:b/>
          <w:bCs/>
          <w:sz w:val="20"/>
          <w:szCs w:val="20"/>
        </w:rPr>
        <w:t>2</w:t>
      </w:r>
    </w:p>
    <w:p w14:paraId="7E560FF4" w14:textId="0CD93DFF" w:rsidR="00D966C2" w:rsidRPr="000E0B7B" w:rsidRDefault="00D966C2" w:rsidP="00D966C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293457">
        <w:rPr>
          <w:rFonts w:ascii="Verdana" w:hAnsi="Verdana"/>
          <w:sz w:val="20"/>
          <w:szCs w:val="20"/>
        </w:rPr>
        <w:t>30</w:t>
      </w:r>
      <w:r w:rsidRPr="000E0B7B">
        <w:rPr>
          <w:rFonts w:ascii="Verdana" w:hAnsi="Verdana"/>
          <w:sz w:val="20"/>
          <w:szCs w:val="20"/>
        </w:rPr>
        <w:t>.</w:t>
      </w:r>
    </w:p>
    <w:p w14:paraId="21D88E7C" w14:textId="45FB0B84" w:rsidR="00930253" w:rsidRDefault="00930253" w:rsidP="002B74A3">
      <w:pPr>
        <w:spacing w:after="0" w:line="240" w:lineRule="auto"/>
        <w:jc w:val="both"/>
        <w:rPr>
          <w:rFonts w:ascii="Verdana" w:hAnsi="Verdana"/>
          <w:sz w:val="20"/>
          <w:szCs w:val="20"/>
        </w:rPr>
      </w:pPr>
      <w:r w:rsidRPr="00930253">
        <w:rPr>
          <w:rFonts w:ascii="Verdana" w:hAnsi="Verdana"/>
          <w:sz w:val="20"/>
          <w:szCs w:val="20"/>
        </w:rPr>
        <w:t xml:space="preserve">Calcular los saldos de los depósitos en las </w:t>
      </w:r>
      <w:r w:rsidR="009F3B07">
        <w:rPr>
          <w:rFonts w:ascii="Verdana" w:hAnsi="Verdana"/>
          <w:sz w:val="20"/>
          <w:szCs w:val="20"/>
        </w:rPr>
        <w:t>c</w:t>
      </w:r>
      <w:r w:rsidRPr="00930253">
        <w:rPr>
          <w:rFonts w:ascii="Verdana" w:hAnsi="Verdana"/>
          <w:sz w:val="20"/>
          <w:szCs w:val="20"/>
        </w:rPr>
        <w:t xml:space="preserve">uentas </w:t>
      </w:r>
      <w:r w:rsidR="009F3B07">
        <w:rPr>
          <w:rFonts w:ascii="Verdana" w:hAnsi="Verdana"/>
          <w:sz w:val="20"/>
          <w:szCs w:val="20"/>
        </w:rPr>
        <w:t>c</w:t>
      </w:r>
      <w:r w:rsidRPr="00930253">
        <w:rPr>
          <w:rFonts w:ascii="Verdana" w:hAnsi="Verdana"/>
          <w:sz w:val="20"/>
          <w:szCs w:val="20"/>
        </w:rPr>
        <w:t xml:space="preserve">orrientes, los </w:t>
      </w:r>
      <w:r w:rsidR="009F3B07">
        <w:rPr>
          <w:rFonts w:ascii="Verdana" w:hAnsi="Verdana"/>
          <w:sz w:val="20"/>
          <w:szCs w:val="20"/>
        </w:rPr>
        <w:t>d</w:t>
      </w:r>
      <w:r w:rsidRPr="00930253">
        <w:rPr>
          <w:rFonts w:ascii="Verdana" w:hAnsi="Verdana"/>
          <w:sz w:val="20"/>
          <w:szCs w:val="20"/>
        </w:rPr>
        <w:t xml:space="preserve">epósitos </w:t>
      </w:r>
      <w:r w:rsidR="009F3B07">
        <w:rPr>
          <w:rFonts w:ascii="Verdana" w:hAnsi="Verdana"/>
          <w:sz w:val="20"/>
          <w:szCs w:val="20"/>
        </w:rPr>
        <w:t>s</w:t>
      </w:r>
      <w:r w:rsidRPr="00930253">
        <w:rPr>
          <w:rFonts w:ascii="Verdana" w:hAnsi="Verdana"/>
          <w:sz w:val="20"/>
          <w:szCs w:val="20"/>
        </w:rPr>
        <w:t xml:space="preserve">imples, los </w:t>
      </w:r>
      <w:r w:rsidR="009F3B07">
        <w:rPr>
          <w:rFonts w:ascii="Verdana" w:hAnsi="Verdana"/>
          <w:sz w:val="20"/>
          <w:szCs w:val="20"/>
        </w:rPr>
        <w:t>d</w:t>
      </w:r>
      <w:r w:rsidRPr="00930253">
        <w:rPr>
          <w:rFonts w:ascii="Verdana" w:hAnsi="Verdana"/>
          <w:sz w:val="20"/>
          <w:szCs w:val="20"/>
        </w:rPr>
        <w:t xml:space="preserve">epósitos de </w:t>
      </w:r>
      <w:r w:rsidR="009F3B07">
        <w:rPr>
          <w:rFonts w:ascii="Verdana" w:hAnsi="Verdana"/>
          <w:sz w:val="20"/>
          <w:szCs w:val="20"/>
        </w:rPr>
        <w:t>a</w:t>
      </w:r>
      <w:r w:rsidRPr="00930253">
        <w:rPr>
          <w:rFonts w:ascii="Verdana" w:hAnsi="Verdana"/>
          <w:sz w:val="20"/>
          <w:szCs w:val="20"/>
        </w:rPr>
        <w:t xml:space="preserve">horro, los </w:t>
      </w:r>
      <w:r w:rsidR="009F3B07">
        <w:rPr>
          <w:rFonts w:ascii="Verdana" w:hAnsi="Verdana"/>
          <w:sz w:val="20"/>
          <w:szCs w:val="20"/>
        </w:rPr>
        <w:t>d</w:t>
      </w:r>
      <w:r w:rsidRPr="00930253">
        <w:rPr>
          <w:rFonts w:ascii="Verdana" w:hAnsi="Verdana"/>
          <w:sz w:val="20"/>
          <w:szCs w:val="20"/>
        </w:rPr>
        <w:t xml:space="preserve">ocumentos por </w:t>
      </w:r>
      <w:r w:rsidR="009F3B07">
        <w:rPr>
          <w:rFonts w:ascii="Verdana" w:hAnsi="Verdana"/>
          <w:sz w:val="20"/>
          <w:szCs w:val="20"/>
        </w:rPr>
        <w:t>p</w:t>
      </w:r>
      <w:r w:rsidRPr="00930253">
        <w:rPr>
          <w:rFonts w:ascii="Verdana" w:hAnsi="Verdana"/>
          <w:sz w:val="20"/>
          <w:szCs w:val="20"/>
        </w:rPr>
        <w:t xml:space="preserve">agar, las </w:t>
      </w:r>
      <w:r w:rsidR="009F3B07">
        <w:rPr>
          <w:rFonts w:ascii="Verdana" w:hAnsi="Verdana"/>
          <w:sz w:val="20"/>
          <w:szCs w:val="20"/>
        </w:rPr>
        <w:t>c</w:t>
      </w:r>
      <w:r w:rsidRPr="00930253">
        <w:rPr>
          <w:rFonts w:ascii="Verdana" w:hAnsi="Verdana"/>
          <w:sz w:val="20"/>
          <w:szCs w:val="20"/>
        </w:rPr>
        <w:t xml:space="preserve">uentas </w:t>
      </w:r>
      <w:r w:rsidR="009F3B07">
        <w:rPr>
          <w:rFonts w:ascii="Verdana" w:hAnsi="Verdana"/>
          <w:sz w:val="20"/>
          <w:szCs w:val="20"/>
        </w:rPr>
        <w:t>c</w:t>
      </w:r>
      <w:r w:rsidRPr="00930253">
        <w:rPr>
          <w:rFonts w:ascii="Verdana" w:hAnsi="Verdana"/>
          <w:sz w:val="20"/>
          <w:szCs w:val="20"/>
        </w:rPr>
        <w:t xml:space="preserve">entralizadas, los </w:t>
      </w:r>
      <w:r w:rsidR="003A582D">
        <w:rPr>
          <w:rFonts w:ascii="Verdana" w:hAnsi="Verdana"/>
          <w:sz w:val="20"/>
          <w:szCs w:val="20"/>
        </w:rPr>
        <w:t>f</w:t>
      </w:r>
      <w:r w:rsidRPr="00930253">
        <w:rPr>
          <w:rFonts w:ascii="Verdana" w:hAnsi="Verdana"/>
          <w:sz w:val="20"/>
          <w:szCs w:val="20"/>
        </w:rPr>
        <w:t xml:space="preserve">ondos en </w:t>
      </w:r>
      <w:r w:rsidR="003A582D">
        <w:rPr>
          <w:rFonts w:ascii="Verdana" w:hAnsi="Verdana"/>
          <w:sz w:val="20"/>
          <w:szCs w:val="20"/>
        </w:rPr>
        <w:t>f</w:t>
      </w:r>
      <w:r w:rsidRPr="00930253">
        <w:rPr>
          <w:rFonts w:ascii="Verdana" w:hAnsi="Verdana"/>
          <w:sz w:val="20"/>
          <w:szCs w:val="20"/>
        </w:rPr>
        <w:t xml:space="preserve">ideicomiso y </w:t>
      </w:r>
      <w:r w:rsidR="003A582D">
        <w:rPr>
          <w:rFonts w:ascii="Verdana" w:hAnsi="Verdana"/>
          <w:sz w:val="20"/>
          <w:szCs w:val="20"/>
        </w:rPr>
        <w:t>c</w:t>
      </w:r>
      <w:r w:rsidRPr="00930253">
        <w:rPr>
          <w:rFonts w:ascii="Verdana" w:hAnsi="Verdana"/>
          <w:sz w:val="20"/>
          <w:szCs w:val="20"/>
        </w:rPr>
        <w:t xml:space="preserve">uentas </w:t>
      </w:r>
      <w:r w:rsidR="003A582D">
        <w:rPr>
          <w:rFonts w:ascii="Verdana" w:hAnsi="Verdana"/>
          <w:sz w:val="20"/>
          <w:szCs w:val="20"/>
        </w:rPr>
        <w:t>e</w:t>
      </w:r>
      <w:r w:rsidRPr="00930253">
        <w:rPr>
          <w:rFonts w:ascii="Verdana" w:hAnsi="Verdana"/>
          <w:sz w:val="20"/>
          <w:szCs w:val="20"/>
        </w:rPr>
        <w:t xml:space="preserve">speciales, </w:t>
      </w:r>
      <w:r w:rsidR="003A582D">
        <w:rPr>
          <w:rFonts w:ascii="Verdana" w:hAnsi="Verdana"/>
          <w:sz w:val="20"/>
          <w:szCs w:val="20"/>
        </w:rPr>
        <w:t>b</w:t>
      </w:r>
      <w:r w:rsidRPr="00930253">
        <w:rPr>
          <w:rFonts w:ascii="Verdana" w:hAnsi="Verdana"/>
          <w:sz w:val="20"/>
          <w:szCs w:val="20"/>
        </w:rPr>
        <w:t xml:space="preserve">ancos y </w:t>
      </w:r>
      <w:r w:rsidR="003A582D">
        <w:rPr>
          <w:rFonts w:ascii="Verdana" w:hAnsi="Verdana"/>
          <w:sz w:val="20"/>
          <w:szCs w:val="20"/>
        </w:rPr>
        <w:t>c</w:t>
      </w:r>
      <w:r w:rsidRPr="00930253">
        <w:rPr>
          <w:rFonts w:ascii="Verdana" w:hAnsi="Verdana"/>
          <w:sz w:val="20"/>
          <w:szCs w:val="20"/>
        </w:rPr>
        <w:t xml:space="preserve">orresponsales, los </w:t>
      </w:r>
      <w:r w:rsidR="003A582D">
        <w:rPr>
          <w:rFonts w:ascii="Verdana" w:hAnsi="Verdana"/>
          <w:sz w:val="20"/>
          <w:szCs w:val="20"/>
        </w:rPr>
        <w:t>d</w:t>
      </w:r>
      <w:r w:rsidRPr="00930253">
        <w:rPr>
          <w:rFonts w:ascii="Verdana" w:hAnsi="Verdana"/>
          <w:sz w:val="20"/>
          <w:szCs w:val="20"/>
        </w:rPr>
        <w:t xml:space="preserve">epósitos </w:t>
      </w:r>
      <w:r w:rsidR="003A582D">
        <w:rPr>
          <w:rFonts w:ascii="Verdana" w:hAnsi="Verdana"/>
          <w:sz w:val="20"/>
          <w:szCs w:val="20"/>
        </w:rPr>
        <w:t>e</w:t>
      </w:r>
      <w:r w:rsidRPr="00930253">
        <w:rPr>
          <w:rFonts w:ascii="Verdana" w:hAnsi="Verdana"/>
          <w:sz w:val="20"/>
          <w:szCs w:val="20"/>
        </w:rPr>
        <w:t xml:space="preserve">speciales, las </w:t>
      </w:r>
      <w:r w:rsidR="003A582D">
        <w:rPr>
          <w:rFonts w:ascii="Verdana" w:hAnsi="Verdana"/>
          <w:sz w:val="20"/>
          <w:szCs w:val="20"/>
        </w:rPr>
        <w:t>e</w:t>
      </w:r>
      <w:r w:rsidRPr="00930253">
        <w:rPr>
          <w:rFonts w:ascii="Verdana" w:hAnsi="Verdana"/>
          <w:sz w:val="20"/>
          <w:szCs w:val="20"/>
        </w:rPr>
        <w:t xml:space="preserve">xigibilidades por </w:t>
      </w:r>
      <w:r w:rsidR="003A582D">
        <w:rPr>
          <w:rFonts w:ascii="Verdana" w:hAnsi="Verdana"/>
          <w:sz w:val="20"/>
          <w:szCs w:val="20"/>
        </w:rPr>
        <w:t>s</w:t>
      </w:r>
      <w:r w:rsidRPr="00930253">
        <w:rPr>
          <w:rFonts w:ascii="Verdana" w:hAnsi="Verdana"/>
          <w:sz w:val="20"/>
          <w:szCs w:val="20"/>
        </w:rPr>
        <w:t xml:space="preserve">ervicios, los </w:t>
      </w:r>
      <w:r w:rsidR="003A582D">
        <w:rPr>
          <w:rFonts w:ascii="Verdana" w:hAnsi="Verdana"/>
          <w:sz w:val="20"/>
          <w:szCs w:val="20"/>
        </w:rPr>
        <w:t>s</w:t>
      </w:r>
      <w:r w:rsidRPr="00930253">
        <w:rPr>
          <w:rFonts w:ascii="Verdana" w:hAnsi="Verdana"/>
          <w:sz w:val="20"/>
          <w:szCs w:val="20"/>
        </w:rPr>
        <w:t xml:space="preserve">ervicios de </w:t>
      </w:r>
      <w:r w:rsidR="003A582D">
        <w:rPr>
          <w:rFonts w:ascii="Verdana" w:hAnsi="Verdana"/>
          <w:sz w:val="20"/>
          <w:szCs w:val="20"/>
        </w:rPr>
        <w:t>r</w:t>
      </w:r>
      <w:r w:rsidRPr="00930253">
        <w:rPr>
          <w:rFonts w:ascii="Verdana" w:hAnsi="Verdana"/>
          <w:sz w:val="20"/>
          <w:szCs w:val="20"/>
        </w:rPr>
        <w:t xml:space="preserve">ecaudo, los </w:t>
      </w:r>
      <w:r w:rsidR="003A582D">
        <w:rPr>
          <w:rFonts w:ascii="Verdana" w:hAnsi="Verdana"/>
          <w:sz w:val="20"/>
          <w:szCs w:val="20"/>
        </w:rPr>
        <w:t>e</w:t>
      </w:r>
      <w:r w:rsidRPr="00930253">
        <w:rPr>
          <w:rFonts w:ascii="Verdana" w:hAnsi="Verdana"/>
          <w:sz w:val="20"/>
          <w:szCs w:val="20"/>
        </w:rPr>
        <w:t xml:space="preserve">stablecimientos </w:t>
      </w:r>
      <w:r w:rsidR="003A582D">
        <w:rPr>
          <w:rFonts w:ascii="Verdana" w:hAnsi="Verdana"/>
          <w:sz w:val="20"/>
          <w:szCs w:val="20"/>
        </w:rPr>
        <w:t>a</w:t>
      </w:r>
      <w:r w:rsidRPr="00930253">
        <w:rPr>
          <w:rFonts w:ascii="Verdana" w:hAnsi="Verdana"/>
          <w:sz w:val="20"/>
          <w:szCs w:val="20"/>
        </w:rPr>
        <w:t xml:space="preserve">filiados, los </w:t>
      </w:r>
      <w:r w:rsidR="003A582D">
        <w:rPr>
          <w:rFonts w:ascii="Verdana" w:hAnsi="Verdana"/>
          <w:sz w:val="20"/>
          <w:szCs w:val="20"/>
        </w:rPr>
        <w:t>d</w:t>
      </w:r>
      <w:r w:rsidRPr="00930253">
        <w:rPr>
          <w:rFonts w:ascii="Verdana" w:hAnsi="Verdana"/>
          <w:sz w:val="20"/>
          <w:szCs w:val="20"/>
        </w:rPr>
        <w:t xml:space="preserve">epósitos </w:t>
      </w:r>
      <w:r w:rsidR="003A582D">
        <w:rPr>
          <w:rFonts w:ascii="Verdana" w:hAnsi="Verdana"/>
          <w:sz w:val="20"/>
          <w:szCs w:val="20"/>
        </w:rPr>
        <w:t>e</w:t>
      </w:r>
      <w:r w:rsidRPr="00930253">
        <w:rPr>
          <w:rFonts w:ascii="Verdana" w:hAnsi="Verdana"/>
          <w:sz w:val="20"/>
          <w:szCs w:val="20"/>
        </w:rPr>
        <w:t xml:space="preserve">lectrónicos y los </w:t>
      </w:r>
      <w:r w:rsidR="003A582D">
        <w:rPr>
          <w:rFonts w:ascii="Verdana" w:hAnsi="Verdana"/>
          <w:sz w:val="20"/>
          <w:szCs w:val="20"/>
        </w:rPr>
        <w:t>a</w:t>
      </w:r>
      <w:r w:rsidRPr="00930253">
        <w:rPr>
          <w:rFonts w:ascii="Verdana" w:hAnsi="Verdana"/>
          <w:sz w:val="20"/>
          <w:szCs w:val="20"/>
        </w:rPr>
        <w:t xml:space="preserve">portes </w:t>
      </w:r>
      <w:r w:rsidR="003A582D">
        <w:rPr>
          <w:rFonts w:ascii="Verdana" w:hAnsi="Verdana"/>
          <w:sz w:val="20"/>
          <w:szCs w:val="20"/>
        </w:rPr>
        <w:t>s</w:t>
      </w:r>
      <w:r w:rsidRPr="00930253">
        <w:rPr>
          <w:rFonts w:ascii="Verdana" w:hAnsi="Verdana"/>
          <w:sz w:val="20"/>
          <w:szCs w:val="20"/>
        </w:rPr>
        <w:t xml:space="preserve">ociales (cuentas CUIF 2105, 2106, 2108 -excepto 210815-, </w:t>
      </w:r>
      <w:r w:rsidRPr="00562C91">
        <w:rPr>
          <w:rFonts w:ascii="Verdana" w:hAnsi="Verdana"/>
          <w:sz w:val="20"/>
          <w:szCs w:val="20"/>
        </w:rPr>
        <w:t>2109,</w:t>
      </w:r>
      <w:r w:rsidRPr="00930253">
        <w:rPr>
          <w:rFonts w:ascii="Verdana" w:hAnsi="Verdana"/>
          <w:sz w:val="20"/>
          <w:szCs w:val="20"/>
        </w:rPr>
        <w:t xml:space="preserve"> 2111, 2112, 2113, 2115, 2116, 2117, 2118, 2119, 2120 y 3115) en cada una de las categorías de depositantes descritas </w:t>
      </w:r>
      <w:r w:rsidR="00BF589B">
        <w:rPr>
          <w:rFonts w:ascii="Verdana" w:hAnsi="Verdana"/>
          <w:sz w:val="20"/>
          <w:szCs w:val="20"/>
        </w:rPr>
        <w:t xml:space="preserve">entre los párrafos </w:t>
      </w:r>
      <w:r w:rsidR="00AD63F9">
        <w:rPr>
          <w:rFonts w:ascii="Verdana" w:hAnsi="Verdana"/>
          <w:sz w:val="20"/>
          <w:szCs w:val="20"/>
        </w:rPr>
        <w:t>1.1.A9.17. y 1.1.A9.31.</w:t>
      </w:r>
    </w:p>
    <w:p w14:paraId="5CD8C391" w14:textId="77777777" w:rsidR="002B74A3" w:rsidRPr="002B74A3" w:rsidRDefault="002B74A3" w:rsidP="002B74A3">
      <w:pPr>
        <w:spacing w:after="0" w:line="240" w:lineRule="auto"/>
        <w:jc w:val="both"/>
        <w:rPr>
          <w:rFonts w:ascii="Verdana" w:hAnsi="Verdana"/>
          <w:sz w:val="20"/>
          <w:szCs w:val="20"/>
        </w:rPr>
      </w:pPr>
    </w:p>
    <w:p w14:paraId="008A2549" w14:textId="071CAEC1" w:rsidR="00562C91" w:rsidRPr="000E0B7B" w:rsidRDefault="00562C91" w:rsidP="00562C91">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1</w:t>
      </w:r>
      <w:r w:rsidRPr="000E0B7B">
        <w:rPr>
          <w:rFonts w:ascii="Verdana" w:hAnsi="Verdana"/>
          <w:sz w:val="20"/>
          <w:szCs w:val="20"/>
        </w:rPr>
        <w:t>.</w:t>
      </w:r>
    </w:p>
    <w:p w14:paraId="293C424E" w14:textId="3C2A9E7A" w:rsidR="00A757A6" w:rsidRPr="00F259A0" w:rsidRDefault="00930253" w:rsidP="00F259A0">
      <w:pPr>
        <w:jc w:val="both"/>
        <w:rPr>
          <w:rFonts w:ascii="Verdana" w:hAnsi="Verdana"/>
          <w:sz w:val="20"/>
          <w:szCs w:val="20"/>
        </w:rPr>
      </w:pPr>
      <w:r w:rsidRPr="00930253">
        <w:rPr>
          <w:rFonts w:ascii="Verdana" w:hAnsi="Verdana"/>
          <w:sz w:val="20"/>
          <w:szCs w:val="20"/>
        </w:rPr>
        <w:t xml:space="preserve">A los saldos antes mencionados, se les debe </w:t>
      </w:r>
      <w:r w:rsidRPr="004931EA">
        <w:rPr>
          <w:rFonts w:ascii="Verdana" w:hAnsi="Verdana"/>
          <w:sz w:val="20"/>
          <w:szCs w:val="20"/>
        </w:rPr>
        <w:t xml:space="preserve">aplicar el </w:t>
      </w:r>
      <w:r w:rsidR="00D82B3D">
        <w:rPr>
          <w:rFonts w:ascii="Verdana" w:hAnsi="Verdana"/>
          <w:sz w:val="20"/>
          <w:szCs w:val="20"/>
        </w:rPr>
        <w:t>factor</w:t>
      </w:r>
      <w:r w:rsidRPr="004931EA">
        <w:rPr>
          <w:rFonts w:ascii="Verdana" w:hAnsi="Verdana"/>
          <w:sz w:val="20"/>
          <w:szCs w:val="20"/>
        </w:rPr>
        <w:t xml:space="preserve"> específico mensual de los depósitos a la vista establecidos en</w:t>
      </w:r>
      <w:r w:rsidR="000C3280" w:rsidRPr="004931EA">
        <w:rPr>
          <w:rFonts w:ascii="Verdana" w:hAnsi="Verdana"/>
          <w:sz w:val="20"/>
          <w:szCs w:val="20"/>
        </w:rPr>
        <w:t xml:space="preserve"> los párrafos 1.1.A9.</w:t>
      </w:r>
      <w:r w:rsidR="004931EA" w:rsidRPr="004931EA">
        <w:rPr>
          <w:rFonts w:ascii="Verdana" w:hAnsi="Verdana"/>
          <w:sz w:val="20"/>
          <w:szCs w:val="20"/>
        </w:rPr>
        <w:t>26. a 1.1.A9.29.</w:t>
      </w:r>
      <w:r w:rsidRPr="004931EA">
        <w:rPr>
          <w:rFonts w:ascii="Verdana" w:hAnsi="Verdana"/>
          <w:sz w:val="20"/>
          <w:szCs w:val="20"/>
        </w:rPr>
        <w:t>, en forma proporcional, en cada banda de tiempo</w:t>
      </w:r>
      <w:r w:rsidRPr="00930253">
        <w:rPr>
          <w:rFonts w:ascii="Verdana" w:hAnsi="Verdana"/>
          <w:sz w:val="20"/>
          <w:szCs w:val="20"/>
        </w:rPr>
        <w:t xml:space="preserve"> del reporte, al número de días calendario comprendidos en la misma, teniendo en cuenta siempre un mes calendario de 30 días. Los valores resultantes serán los flujos netos que no obedecen a vencimientos contractuales, estimados para cada una de las bandas de tiempo.</w:t>
      </w:r>
    </w:p>
    <w:p w14:paraId="2FEDD521" w14:textId="2868B836" w:rsidR="00930253" w:rsidRDefault="00930253" w:rsidP="00930253">
      <w:pPr>
        <w:jc w:val="both"/>
        <w:rPr>
          <w:rFonts w:ascii="Verdana" w:hAnsi="Verdana"/>
          <w:sz w:val="20"/>
          <w:szCs w:val="20"/>
        </w:rPr>
      </w:pPr>
      <w:r w:rsidRPr="003B1055">
        <w:rPr>
          <w:rFonts w:ascii="Verdana" w:hAnsi="Verdana"/>
          <w:b/>
          <w:bCs/>
          <w:sz w:val="20"/>
          <w:szCs w:val="20"/>
        </w:rPr>
        <w:t>Medición de los activos líquidos ajustados por liquidez de mercado y riesgo cambiario (ALM)</w:t>
      </w:r>
    </w:p>
    <w:p w14:paraId="7885A924" w14:textId="3A893705" w:rsidR="00A757A6" w:rsidRPr="000E0B7B" w:rsidRDefault="00A757A6" w:rsidP="00A757A6">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2</w:t>
      </w:r>
      <w:r w:rsidRPr="000E0B7B">
        <w:rPr>
          <w:rFonts w:ascii="Verdana" w:hAnsi="Verdana"/>
          <w:sz w:val="20"/>
          <w:szCs w:val="20"/>
        </w:rPr>
        <w:t>.</w:t>
      </w:r>
    </w:p>
    <w:p w14:paraId="521618A3" w14:textId="76DCBB5A" w:rsidR="00930253" w:rsidRPr="00930253" w:rsidRDefault="00930253" w:rsidP="00930253">
      <w:pPr>
        <w:jc w:val="both"/>
        <w:rPr>
          <w:rFonts w:ascii="Verdana" w:hAnsi="Verdana"/>
          <w:sz w:val="20"/>
          <w:szCs w:val="20"/>
        </w:rPr>
      </w:pPr>
      <w:r w:rsidRPr="00930253">
        <w:rPr>
          <w:rFonts w:ascii="Verdana" w:hAnsi="Verdana"/>
          <w:sz w:val="20"/>
          <w:szCs w:val="20"/>
        </w:rPr>
        <w:t xml:space="preserve">Los </w:t>
      </w:r>
      <w:r w:rsidR="00B134B5">
        <w:rPr>
          <w:rFonts w:ascii="Verdana" w:hAnsi="Verdana"/>
          <w:sz w:val="20"/>
          <w:szCs w:val="20"/>
        </w:rPr>
        <w:t>a</w:t>
      </w:r>
      <w:r w:rsidRPr="00930253">
        <w:rPr>
          <w:rFonts w:ascii="Verdana" w:hAnsi="Verdana"/>
          <w:sz w:val="20"/>
          <w:szCs w:val="20"/>
        </w:rPr>
        <w:t xml:space="preserve">ctivos </w:t>
      </w:r>
      <w:r w:rsidR="00B134B5">
        <w:rPr>
          <w:rFonts w:ascii="Verdana" w:hAnsi="Verdana"/>
          <w:sz w:val="20"/>
          <w:szCs w:val="20"/>
        </w:rPr>
        <w:t>l</w:t>
      </w:r>
      <w:r w:rsidRPr="00930253">
        <w:rPr>
          <w:rFonts w:ascii="Verdana" w:hAnsi="Verdana"/>
          <w:sz w:val="20"/>
          <w:szCs w:val="20"/>
        </w:rPr>
        <w:t xml:space="preserve">íquidos corresponden a la suma del </w:t>
      </w:r>
      <w:r w:rsidRPr="0013573C">
        <w:rPr>
          <w:rFonts w:ascii="Verdana" w:hAnsi="Verdana"/>
          <w:sz w:val="20"/>
          <w:szCs w:val="20"/>
        </w:rPr>
        <w:t xml:space="preserve">disponible </w:t>
      </w:r>
      <w:r w:rsidRPr="00BA0768">
        <w:rPr>
          <w:rFonts w:ascii="Verdana" w:hAnsi="Verdana"/>
          <w:sz w:val="20"/>
          <w:szCs w:val="20"/>
        </w:rPr>
        <w:t>(incluyendo los recursos del encaje),</w:t>
      </w:r>
      <w:r w:rsidRPr="0013573C">
        <w:rPr>
          <w:rFonts w:ascii="Verdana" w:hAnsi="Verdana"/>
          <w:sz w:val="20"/>
          <w:szCs w:val="20"/>
        </w:rPr>
        <w:t xml:space="preserve"> las inversiones negociables en títulos de deuda,</w:t>
      </w:r>
      <w:r w:rsidRPr="00930253">
        <w:rPr>
          <w:rFonts w:ascii="Verdana" w:hAnsi="Verdana"/>
          <w:sz w:val="20"/>
          <w:szCs w:val="20"/>
        </w:rPr>
        <w:t xml:space="preserve"> las inversiones en fondos de inversión colectiva abiertos sin pacto de permanencia, las inversiones disponibles para la venta en títulos de deuda y las inversiones hasta el vencimiento, siempre que en este </w:t>
      </w:r>
      <w:r w:rsidRPr="00930253">
        <w:rPr>
          <w:rFonts w:ascii="Verdana" w:hAnsi="Verdana"/>
          <w:sz w:val="20"/>
          <w:szCs w:val="20"/>
        </w:rPr>
        <w:lastRenderedPageBreak/>
        <w:t>último caso se trate de las inversiones forzosas u obligatorias suscritas en el mercado primario y que esté permitido efectuar con ellas operaciones de mercado monetario. Adicionalmente</w:t>
      </w:r>
      <w:r w:rsidR="004919AC">
        <w:rPr>
          <w:rFonts w:ascii="Verdana" w:hAnsi="Verdana"/>
          <w:sz w:val="20"/>
          <w:szCs w:val="20"/>
        </w:rPr>
        <w:t>,</w:t>
      </w:r>
      <w:r w:rsidRPr="00930253">
        <w:rPr>
          <w:rFonts w:ascii="Verdana" w:hAnsi="Verdana"/>
          <w:sz w:val="20"/>
          <w:szCs w:val="20"/>
        </w:rPr>
        <w:t xml:space="preserve"> formarán parte de los </w:t>
      </w:r>
      <w:r w:rsidR="00830FD2">
        <w:rPr>
          <w:rFonts w:ascii="Verdana" w:hAnsi="Verdana"/>
          <w:sz w:val="20"/>
          <w:szCs w:val="20"/>
        </w:rPr>
        <w:t>a</w:t>
      </w:r>
      <w:r w:rsidRPr="00930253">
        <w:rPr>
          <w:rFonts w:ascii="Verdana" w:hAnsi="Verdana"/>
          <w:sz w:val="20"/>
          <w:szCs w:val="20"/>
        </w:rPr>
        <w:t xml:space="preserve">ctivos </w:t>
      </w:r>
      <w:r w:rsidR="00830FD2">
        <w:rPr>
          <w:rFonts w:ascii="Verdana" w:hAnsi="Verdana"/>
          <w:sz w:val="20"/>
          <w:szCs w:val="20"/>
        </w:rPr>
        <w:t>l</w:t>
      </w:r>
      <w:r w:rsidRPr="00930253">
        <w:rPr>
          <w:rFonts w:ascii="Verdana" w:hAnsi="Verdana"/>
          <w:sz w:val="20"/>
          <w:szCs w:val="20"/>
        </w:rPr>
        <w:t>íquidos los títulos o cupones transferidos a la entidad en desarrollo de operaciones activas de mercado monetario realizadas por ésta y que no hayan sido utilizados posteriormente en operaciones pasivas en el mercado monetario.</w:t>
      </w:r>
    </w:p>
    <w:p w14:paraId="7119C9D7" w14:textId="3F82C9F2" w:rsidR="00BB688B" w:rsidRPr="000E0B7B" w:rsidRDefault="00BB688B" w:rsidP="00BB688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3</w:t>
      </w:r>
      <w:r w:rsidRPr="000E0B7B">
        <w:rPr>
          <w:rFonts w:ascii="Verdana" w:hAnsi="Verdana"/>
          <w:sz w:val="20"/>
          <w:szCs w:val="20"/>
        </w:rPr>
        <w:t>.</w:t>
      </w:r>
    </w:p>
    <w:p w14:paraId="2AD4420E" w14:textId="24B10E87" w:rsidR="00930253" w:rsidRPr="00930253" w:rsidRDefault="00930253" w:rsidP="00930253">
      <w:pPr>
        <w:jc w:val="both"/>
        <w:rPr>
          <w:rFonts w:ascii="Verdana" w:hAnsi="Verdana"/>
          <w:sz w:val="20"/>
          <w:szCs w:val="20"/>
        </w:rPr>
      </w:pPr>
      <w:r w:rsidRPr="00930253">
        <w:rPr>
          <w:rFonts w:ascii="Verdana" w:hAnsi="Verdana"/>
          <w:sz w:val="20"/>
          <w:szCs w:val="20"/>
        </w:rPr>
        <w:t xml:space="preserve">Para efectos del cálculo de los </w:t>
      </w:r>
      <w:r w:rsidR="00B134B5">
        <w:rPr>
          <w:rFonts w:ascii="Verdana" w:hAnsi="Verdana"/>
          <w:sz w:val="20"/>
          <w:szCs w:val="20"/>
        </w:rPr>
        <w:t>a</w:t>
      </w:r>
      <w:r w:rsidRPr="00930253">
        <w:rPr>
          <w:rFonts w:ascii="Verdana" w:hAnsi="Verdana"/>
          <w:sz w:val="20"/>
          <w:szCs w:val="20"/>
        </w:rPr>
        <w:t xml:space="preserve">ctivos </w:t>
      </w:r>
      <w:r w:rsidR="00B134B5">
        <w:rPr>
          <w:rFonts w:ascii="Verdana" w:hAnsi="Verdana"/>
          <w:sz w:val="20"/>
          <w:szCs w:val="20"/>
        </w:rPr>
        <w:t>l</w:t>
      </w:r>
      <w:r w:rsidRPr="00930253">
        <w:rPr>
          <w:rFonts w:ascii="Verdana" w:hAnsi="Verdana"/>
          <w:sz w:val="20"/>
          <w:szCs w:val="20"/>
        </w:rPr>
        <w:t>íquidos, todas las inversiones enunciadas, sin excepción alguna, computarán por su valor razonable en la fecha de la evaluación, independientemente de su clasificación contable. Esto implica que en ningún caso las inversiones que conforman los activos líquidos habrán de computar por el resultado de su valoración con la tasa facial o Tasa Interna de Retorno de la fecha de compra (como ocurre con las inversiones clasificadas hasta el vencimiento), sino siempre por lo que se estime como su valor a precios de mercado en la fecha del reporte. Cuando por alguna razón no sea posible estimar dicho valor para cualquier inversión, deberá computar en el cálculo de los Activos Líquidos por el 50% de su valor en libros.</w:t>
      </w:r>
    </w:p>
    <w:p w14:paraId="36A6FCF0" w14:textId="2969D787" w:rsidR="009E013A" w:rsidRPr="000E0B7B" w:rsidRDefault="009E013A" w:rsidP="009E013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4</w:t>
      </w:r>
      <w:r w:rsidRPr="000E0B7B">
        <w:rPr>
          <w:rFonts w:ascii="Verdana" w:hAnsi="Verdana"/>
          <w:sz w:val="20"/>
          <w:szCs w:val="20"/>
        </w:rPr>
        <w:t>.</w:t>
      </w:r>
    </w:p>
    <w:p w14:paraId="38067323" w14:textId="77777777" w:rsidR="00930253" w:rsidRPr="00930253" w:rsidRDefault="00930253" w:rsidP="00930253">
      <w:pPr>
        <w:jc w:val="both"/>
        <w:rPr>
          <w:rFonts w:ascii="Verdana" w:hAnsi="Verdana"/>
          <w:sz w:val="20"/>
          <w:szCs w:val="20"/>
        </w:rPr>
      </w:pPr>
      <w:r w:rsidRPr="00930253">
        <w:rPr>
          <w:rFonts w:ascii="Verdana" w:hAnsi="Verdana"/>
          <w:sz w:val="20"/>
          <w:szCs w:val="20"/>
        </w:rPr>
        <w:t xml:space="preserve">Los activos financieros adquiridos en operaciones de contado se registrarán en la fecha de cumplimiento o liquidación de </w:t>
      </w:r>
      <w:proofErr w:type="gramStart"/>
      <w:r w:rsidRPr="00930253">
        <w:rPr>
          <w:rFonts w:ascii="Verdana" w:hAnsi="Verdana"/>
          <w:sz w:val="20"/>
          <w:szCs w:val="20"/>
        </w:rPr>
        <w:t>las mismas</w:t>
      </w:r>
      <w:proofErr w:type="gramEnd"/>
      <w:r w:rsidRPr="00930253">
        <w:rPr>
          <w:rFonts w:ascii="Verdana" w:hAnsi="Verdana"/>
          <w:sz w:val="20"/>
          <w:szCs w:val="20"/>
        </w:rPr>
        <w:t xml:space="preserve"> y no en la fecha de negociación.</w:t>
      </w:r>
    </w:p>
    <w:p w14:paraId="07B31E3B" w14:textId="6EB251C6" w:rsidR="00F159B4" w:rsidRPr="000E0B7B" w:rsidRDefault="00F159B4" w:rsidP="00F159B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5</w:t>
      </w:r>
      <w:r w:rsidRPr="000E0B7B">
        <w:rPr>
          <w:rFonts w:ascii="Verdana" w:hAnsi="Verdana"/>
          <w:sz w:val="20"/>
          <w:szCs w:val="20"/>
        </w:rPr>
        <w:t>.</w:t>
      </w:r>
    </w:p>
    <w:p w14:paraId="2B872FEB" w14:textId="77777777" w:rsidR="00930253" w:rsidRPr="00930253" w:rsidRDefault="00930253" w:rsidP="00930253">
      <w:pPr>
        <w:jc w:val="both"/>
        <w:rPr>
          <w:rFonts w:ascii="Verdana" w:hAnsi="Verdana"/>
          <w:sz w:val="20"/>
          <w:szCs w:val="20"/>
        </w:rPr>
      </w:pPr>
      <w:r w:rsidRPr="00930253">
        <w:rPr>
          <w:rFonts w:ascii="Verdana" w:hAnsi="Verdana"/>
          <w:sz w:val="20"/>
          <w:szCs w:val="20"/>
        </w:rPr>
        <w:t>También se deben excluir del cálculo de los Activos Líquidos, el efectivo y las inversiones financieras entregadas en garantía o sujetas a cualquier otro tipo de gravamen, medida preventiva o de cualquier naturaleza, que impida su libre cesión o transferencia, así como aquellas que hayan sido transferidas en operaciones pasivas de reporto o repo, simultáneas o transferencia temporal de valores y las que no se encuentran enmarcadas dentro de la definición de activo prevista en las NIIF. En el caso de estas operaciones pasivas de mercado monetario, los flujos de efectivo pactados para su cancelación deberán registrarse en la correspondiente banda temporal de acuerdo con las fechas pactadas para el cumplimiento de los compromisos, debiendo registrarse a su vez, a manera de ingresos en la misma banda de tiempo, los valores razonables de los títulos, cupones o pagos de dividendos, que se retransfieren con la cancelación de tales operaciones.</w:t>
      </w:r>
    </w:p>
    <w:p w14:paraId="551290F9" w14:textId="4ABE6391" w:rsidR="005750A0" w:rsidRPr="000E0B7B" w:rsidRDefault="005750A0" w:rsidP="005750A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6</w:t>
      </w:r>
      <w:r w:rsidRPr="000E0B7B">
        <w:rPr>
          <w:rFonts w:ascii="Verdana" w:hAnsi="Verdana"/>
          <w:sz w:val="20"/>
          <w:szCs w:val="20"/>
        </w:rPr>
        <w:t>.</w:t>
      </w:r>
    </w:p>
    <w:p w14:paraId="25F9EA8E" w14:textId="2FD9F2DA" w:rsidR="00930253" w:rsidRPr="00930253" w:rsidRDefault="00930253" w:rsidP="00930253">
      <w:pPr>
        <w:jc w:val="both"/>
        <w:rPr>
          <w:rFonts w:ascii="Verdana" w:hAnsi="Verdana"/>
          <w:sz w:val="20"/>
          <w:szCs w:val="20"/>
        </w:rPr>
      </w:pPr>
      <w:r w:rsidRPr="00930253">
        <w:rPr>
          <w:rFonts w:ascii="Verdana" w:hAnsi="Verdana"/>
          <w:sz w:val="20"/>
          <w:szCs w:val="20"/>
        </w:rPr>
        <w:t xml:space="preserve">Una vez estimados los </w:t>
      </w:r>
      <w:r w:rsidR="007A5076">
        <w:rPr>
          <w:rFonts w:ascii="Verdana" w:hAnsi="Verdana"/>
          <w:sz w:val="20"/>
          <w:szCs w:val="20"/>
        </w:rPr>
        <w:t>a</w:t>
      </w:r>
      <w:r w:rsidRPr="00930253">
        <w:rPr>
          <w:rFonts w:ascii="Verdana" w:hAnsi="Verdana"/>
          <w:sz w:val="20"/>
          <w:szCs w:val="20"/>
        </w:rPr>
        <w:t xml:space="preserve">ctivos </w:t>
      </w:r>
      <w:r w:rsidR="007A5076">
        <w:rPr>
          <w:rFonts w:ascii="Verdana" w:hAnsi="Verdana"/>
          <w:sz w:val="20"/>
          <w:szCs w:val="20"/>
        </w:rPr>
        <w:t>l</w:t>
      </w:r>
      <w:r w:rsidRPr="00930253">
        <w:rPr>
          <w:rFonts w:ascii="Verdana" w:hAnsi="Verdana"/>
          <w:sz w:val="20"/>
          <w:szCs w:val="20"/>
        </w:rPr>
        <w:t>íquidos siguiendo las reglas antes mencionadas, deberán ajustarse por el efecto que eventualmente puede tener la</w:t>
      </w:r>
      <w:r w:rsidR="00BA1F11">
        <w:rPr>
          <w:rFonts w:ascii="Verdana" w:hAnsi="Verdana"/>
          <w:sz w:val="20"/>
          <w:szCs w:val="20"/>
        </w:rPr>
        <w:t xml:space="preserve"> </w:t>
      </w:r>
      <w:r w:rsidRPr="00930253">
        <w:rPr>
          <w:rFonts w:ascii="Verdana" w:hAnsi="Verdana"/>
          <w:sz w:val="20"/>
          <w:szCs w:val="20"/>
        </w:rPr>
        <w:t>liquidez del mercado sobre el valor del portafolio de inversiones que lo integra y, por ende, sobre el precio que efectivamente podría recibir la entidad en caso de tener que liquidarlo rápidamente. De esta manera, los activos líquidos ajustados por</w:t>
      </w:r>
      <w:r w:rsidR="00BA1F11">
        <w:rPr>
          <w:rFonts w:ascii="Verdana" w:hAnsi="Verdana"/>
          <w:sz w:val="20"/>
          <w:szCs w:val="20"/>
        </w:rPr>
        <w:t xml:space="preserve"> </w:t>
      </w:r>
      <w:r w:rsidRPr="00930253">
        <w:rPr>
          <w:rFonts w:ascii="Verdana" w:hAnsi="Verdana"/>
          <w:sz w:val="20"/>
          <w:szCs w:val="20"/>
        </w:rPr>
        <w:t xml:space="preserve">liquidez de mercado buscan capturar </w:t>
      </w:r>
      <w:r w:rsidR="007A5076">
        <w:rPr>
          <w:rFonts w:ascii="Verdana" w:hAnsi="Verdana"/>
          <w:sz w:val="20"/>
          <w:szCs w:val="20"/>
        </w:rPr>
        <w:t>(</w:t>
      </w:r>
      <w:r w:rsidR="00CA2031">
        <w:rPr>
          <w:rFonts w:ascii="Verdana" w:hAnsi="Verdana"/>
          <w:sz w:val="20"/>
          <w:szCs w:val="20"/>
        </w:rPr>
        <w:t>desde el</w:t>
      </w:r>
      <w:r w:rsidRPr="00930253">
        <w:rPr>
          <w:rFonts w:ascii="Verdana" w:hAnsi="Verdana"/>
          <w:sz w:val="20"/>
          <w:szCs w:val="20"/>
        </w:rPr>
        <w:t xml:space="preserve"> punto de vista del reporte estándar del supervisor</w:t>
      </w:r>
      <w:r w:rsidR="007A5076">
        <w:rPr>
          <w:rFonts w:ascii="Verdana" w:hAnsi="Verdana"/>
          <w:sz w:val="20"/>
          <w:szCs w:val="20"/>
        </w:rPr>
        <w:t>)</w:t>
      </w:r>
      <w:r w:rsidRPr="00930253">
        <w:rPr>
          <w:rFonts w:ascii="Verdana" w:hAnsi="Verdana"/>
          <w:sz w:val="20"/>
          <w:szCs w:val="20"/>
        </w:rPr>
        <w:t xml:space="preserve"> el tamaño efectivo probable del colchón de recursos que dispone la entidad para realizar sus pagos.</w:t>
      </w:r>
    </w:p>
    <w:p w14:paraId="70CE263F" w14:textId="36E459FA" w:rsidR="00D62598" w:rsidRPr="000E0B7B" w:rsidRDefault="00D62598" w:rsidP="00D6259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7</w:t>
      </w:r>
      <w:r w:rsidRPr="000E0B7B">
        <w:rPr>
          <w:rFonts w:ascii="Verdana" w:hAnsi="Verdana"/>
          <w:sz w:val="20"/>
          <w:szCs w:val="20"/>
        </w:rPr>
        <w:t>.</w:t>
      </w:r>
    </w:p>
    <w:p w14:paraId="6E0279AF" w14:textId="528E6AEF" w:rsidR="00930253" w:rsidRPr="00930253" w:rsidRDefault="00930253" w:rsidP="00930253">
      <w:pPr>
        <w:jc w:val="both"/>
        <w:rPr>
          <w:rFonts w:ascii="Verdana" w:hAnsi="Verdana"/>
          <w:sz w:val="20"/>
          <w:szCs w:val="20"/>
        </w:rPr>
      </w:pPr>
      <w:r w:rsidRPr="00930253">
        <w:rPr>
          <w:rFonts w:ascii="Verdana" w:hAnsi="Verdana"/>
          <w:sz w:val="20"/>
          <w:szCs w:val="20"/>
        </w:rPr>
        <w:t xml:space="preserve">Para efectos del cálculo de los activos líquidos ajustados por ‘liquidez de mercado’ las entidades deberán asumir que ocurriera un descuento sobre el precio de mercado de las inversiones que forman parte de </w:t>
      </w:r>
      <w:proofErr w:type="gramStart"/>
      <w:r w:rsidRPr="00930253">
        <w:rPr>
          <w:rFonts w:ascii="Verdana" w:hAnsi="Verdana"/>
          <w:sz w:val="20"/>
          <w:szCs w:val="20"/>
        </w:rPr>
        <w:t>los mismos</w:t>
      </w:r>
      <w:proofErr w:type="gramEnd"/>
      <w:r w:rsidRPr="00930253">
        <w:rPr>
          <w:rFonts w:ascii="Verdana" w:hAnsi="Verdana"/>
          <w:sz w:val="20"/>
          <w:szCs w:val="20"/>
        </w:rPr>
        <w:t xml:space="preserve">, atribuible a eventuales alzas en las tasas de interés o a riesgo de liquidez de </w:t>
      </w:r>
      <w:proofErr w:type="gramStart"/>
      <w:r w:rsidRPr="00930253">
        <w:rPr>
          <w:rFonts w:ascii="Verdana" w:hAnsi="Verdana"/>
          <w:sz w:val="20"/>
          <w:szCs w:val="20"/>
        </w:rPr>
        <w:t>las mismas</w:t>
      </w:r>
      <w:proofErr w:type="gramEnd"/>
      <w:r w:rsidRPr="00930253">
        <w:rPr>
          <w:rFonts w:ascii="Verdana" w:hAnsi="Verdana"/>
          <w:sz w:val="20"/>
          <w:szCs w:val="20"/>
        </w:rPr>
        <w:t xml:space="preserve">. Tal descuento debe corresponder a los </w:t>
      </w:r>
      <w:proofErr w:type="spellStart"/>
      <w:r w:rsidRPr="00B134B5">
        <w:rPr>
          <w:rFonts w:ascii="Verdana" w:hAnsi="Verdana"/>
          <w:i/>
          <w:iCs/>
          <w:sz w:val="20"/>
          <w:szCs w:val="20"/>
        </w:rPr>
        <w:t>haircuts</w:t>
      </w:r>
      <w:proofErr w:type="spellEnd"/>
      <w:r w:rsidRPr="00930253">
        <w:rPr>
          <w:rFonts w:ascii="Verdana" w:hAnsi="Verdana"/>
          <w:sz w:val="20"/>
          <w:szCs w:val="20"/>
        </w:rPr>
        <w:t xml:space="preserve"> que aplica el Banco de la República a los distintos títulos para la realización de operaciones repo, los cuales son actualizados y publicados en la página web del Banco, equivalentes a 33 días calendario. Para los títulos que no aparezcan en dicho informe estadístico y los fondos de inversión colectiva abiertos sin pacto de permanencia, las entidades deberán asumir un descuento del 15% sobre el valor de mercado de </w:t>
      </w:r>
      <w:proofErr w:type="gramStart"/>
      <w:r w:rsidRPr="00930253">
        <w:rPr>
          <w:rFonts w:ascii="Verdana" w:hAnsi="Verdana"/>
          <w:sz w:val="20"/>
          <w:szCs w:val="20"/>
        </w:rPr>
        <w:t>los mismos</w:t>
      </w:r>
      <w:proofErr w:type="gramEnd"/>
      <w:r w:rsidRPr="00930253">
        <w:rPr>
          <w:rFonts w:ascii="Verdana" w:hAnsi="Verdana"/>
          <w:sz w:val="20"/>
          <w:szCs w:val="20"/>
        </w:rPr>
        <w:t xml:space="preserve"> si la calificación crediticia de largo plazo es AA- (o equivalente) o superior, o si la calificación crediticia de corto plazo es grado de inversión.</w:t>
      </w:r>
    </w:p>
    <w:p w14:paraId="69F47320" w14:textId="0797553D" w:rsidR="00290C1A" w:rsidRPr="000E0B7B" w:rsidRDefault="00290C1A" w:rsidP="00290C1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8</w:t>
      </w:r>
      <w:r w:rsidRPr="000E0B7B">
        <w:rPr>
          <w:rFonts w:ascii="Verdana" w:hAnsi="Verdana"/>
          <w:sz w:val="20"/>
          <w:szCs w:val="20"/>
        </w:rPr>
        <w:t>.</w:t>
      </w:r>
    </w:p>
    <w:p w14:paraId="56F7AA45" w14:textId="4874140C" w:rsidR="00F259A0" w:rsidRPr="00930253" w:rsidRDefault="00930253" w:rsidP="00930253">
      <w:pPr>
        <w:jc w:val="both"/>
        <w:rPr>
          <w:rFonts w:ascii="Verdana" w:hAnsi="Verdana"/>
          <w:sz w:val="20"/>
          <w:szCs w:val="20"/>
        </w:rPr>
      </w:pPr>
      <w:r w:rsidRPr="00930253">
        <w:rPr>
          <w:rFonts w:ascii="Verdana" w:hAnsi="Verdana"/>
          <w:sz w:val="20"/>
          <w:szCs w:val="20"/>
        </w:rPr>
        <w:t xml:space="preserve">Para los títulos y fondos de inversión colectiva abiertos sin pacto de permanencia con calificación crediticia de largo plazo entre A+ y BBB- (o equivalente), se aplicará un descuento del 20% sobre el valor de mercado de </w:t>
      </w:r>
      <w:proofErr w:type="gramStart"/>
      <w:r w:rsidRPr="00930253">
        <w:rPr>
          <w:rFonts w:ascii="Verdana" w:hAnsi="Verdana"/>
          <w:sz w:val="20"/>
          <w:szCs w:val="20"/>
        </w:rPr>
        <w:t>los mismos</w:t>
      </w:r>
      <w:proofErr w:type="gramEnd"/>
      <w:r w:rsidRPr="00930253">
        <w:rPr>
          <w:rFonts w:ascii="Verdana" w:hAnsi="Verdana"/>
          <w:sz w:val="20"/>
          <w:szCs w:val="20"/>
        </w:rPr>
        <w:t>.</w:t>
      </w:r>
    </w:p>
    <w:p w14:paraId="219E8124" w14:textId="49DEDEE8" w:rsidR="006E005D" w:rsidRPr="000E0B7B" w:rsidRDefault="006E005D" w:rsidP="006E005D">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3</w:t>
      </w:r>
      <w:r w:rsidR="00293457">
        <w:rPr>
          <w:rFonts w:ascii="Verdana" w:hAnsi="Verdana"/>
          <w:sz w:val="20"/>
          <w:szCs w:val="20"/>
        </w:rPr>
        <w:t>9</w:t>
      </w:r>
      <w:r w:rsidRPr="000E0B7B">
        <w:rPr>
          <w:rFonts w:ascii="Verdana" w:hAnsi="Verdana"/>
          <w:sz w:val="20"/>
          <w:szCs w:val="20"/>
        </w:rPr>
        <w:t>.</w:t>
      </w:r>
    </w:p>
    <w:p w14:paraId="47514EEB" w14:textId="77777777" w:rsidR="00930253" w:rsidRPr="00930253" w:rsidRDefault="00930253" w:rsidP="00930253">
      <w:pPr>
        <w:jc w:val="both"/>
        <w:rPr>
          <w:rFonts w:ascii="Verdana" w:hAnsi="Verdana"/>
          <w:sz w:val="20"/>
          <w:szCs w:val="20"/>
        </w:rPr>
      </w:pPr>
      <w:r w:rsidRPr="00930253">
        <w:rPr>
          <w:rFonts w:ascii="Verdana" w:hAnsi="Verdana"/>
          <w:sz w:val="20"/>
          <w:szCs w:val="20"/>
        </w:rPr>
        <w:t xml:space="preserve">Para los títulos y fondos de inversión colectiva abiertos sin pacto de permanencia con calificación crediticia de grado especulativo (corto o largo plazo) o que no cuenten con calificación, se aplicará un descuento del 50% sobre el valor de mercado de </w:t>
      </w:r>
      <w:proofErr w:type="gramStart"/>
      <w:r w:rsidRPr="00930253">
        <w:rPr>
          <w:rFonts w:ascii="Verdana" w:hAnsi="Verdana"/>
          <w:sz w:val="20"/>
          <w:szCs w:val="20"/>
        </w:rPr>
        <w:t>los mismos</w:t>
      </w:r>
      <w:proofErr w:type="gramEnd"/>
      <w:r w:rsidRPr="00930253">
        <w:rPr>
          <w:rFonts w:ascii="Verdana" w:hAnsi="Verdana"/>
          <w:sz w:val="20"/>
          <w:szCs w:val="20"/>
        </w:rPr>
        <w:t>.</w:t>
      </w:r>
    </w:p>
    <w:p w14:paraId="50AD630E" w14:textId="695D77E4" w:rsidR="00FA56D2" w:rsidRPr="000E0B7B" w:rsidRDefault="00FA56D2" w:rsidP="00FA56D2">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293457">
        <w:rPr>
          <w:rFonts w:ascii="Verdana" w:hAnsi="Verdana"/>
          <w:sz w:val="20"/>
          <w:szCs w:val="20"/>
        </w:rPr>
        <w:t>40</w:t>
      </w:r>
      <w:r w:rsidRPr="000E0B7B">
        <w:rPr>
          <w:rFonts w:ascii="Verdana" w:hAnsi="Verdana"/>
          <w:sz w:val="20"/>
          <w:szCs w:val="20"/>
        </w:rPr>
        <w:t>.</w:t>
      </w:r>
    </w:p>
    <w:p w14:paraId="52E83208" w14:textId="26BE02CE" w:rsidR="00930253" w:rsidRPr="00930253" w:rsidRDefault="00FA56D2" w:rsidP="00FA56D2">
      <w:pPr>
        <w:jc w:val="both"/>
        <w:rPr>
          <w:rFonts w:ascii="Verdana" w:hAnsi="Verdana"/>
          <w:sz w:val="20"/>
          <w:szCs w:val="20"/>
        </w:rPr>
      </w:pPr>
      <w:r w:rsidRPr="00930253">
        <w:rPr>
          <w:rFonts w:ascii="Verdana" w:hAnsi="Verdana"/>
          <w:sz w:val="20"/>
          <w:szCs w:val="20"/>
        </w:rPr>
        <w:t>Para</w:t>
      </w:r>
      <w:r w:rsidR="00930253" w:rsidRPr="00930253">
        <w:rPr>
          <w:rFonts w:ascii="Verdana" w:hAnsi="Verdana"/>
          <w:sz w:val="20"/>
          <w:szCs w:val="20"/>
        </w:rPr>
        <w:t xml:space="preserve"> las equivalencias de las distintas calificaciones, se deberá tener en cuenta el listado “Códigos de Calificación” que la SFC tenga dispuesto para el efecto.</w:t>
      </w:r>
    </w:p>
    <w:p w14:paraId="5089A231" w14:textId="11DEBE8C" w:rsidR="00E80A52" w:rsidRPr="000E0B7B" w:rsidRDefault="00E80A52" w:rsidP="00E80A5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293457">
        <w:rPr>
          <w:rFonts w:ascii="Verdana" w:hAnsi="Verdana"/>
          <w:sz w:val="20"/>
          <w:szCs w:val="20"/>
        </w:rPr>
        <w:t>41</w:t>
      </w:r>
      <w:r w:rsidRPr="000E0B7B">
        <w:rPr>
          <w:rFonts w:ascii="Verdana" w:hAnsi="Verdana"/>
          <w:sz w:val="20"/>
          <w:szCs w:val="20"/>
        </w:rPr>
        <w:t>.</w:t>
      </w:r>
    </w:p>
    <w:p w14:paraId="5C446104" w14:textId="0A412A5A" w:rsidR="00930253" w:rsidRPr="00930253" w:rsidRDefault="00930253" w:rsidP="00930253">
      <w:pPr>
        <w:jc w:val="both"/>
        <w:rPr>
          <w:rFonts w:ascii="Verdana" w:hAnsi="Verdana"/>
          <w:sz w:val="20"/>
          <w:szCs w:val="20"/>
        </w:rPr>
      </w:pPr>
      <w:r w:rsidRPr="00930253">
        <w:rPr>
          <w:rFonts w:ascii="Verdana" w:hAnsi="Verdana"/>
          <w:sz w:val="20"/>
          <w:szCs w:val="20"/>
        </w:rPr>
        <w:t xml:space="preserve">Por último, las entidades deben aplicar un </w:t>
      </w:r>
      <w:r w:rsidRPr="00930253">
        <w:rPr>
          <w:rFonts w:ascii="Verdana" w:hAnsi="Verdana"/>
          <w:i/>
          <w:sz w:val="20"/>
          <w:szCs w:val="20"/>
        </w:rPr>
        <w:t>haircut</w:t>
      </w:r>
      <w:r w:rsidRPr="00930253">
        <w:rPr>
          <w:rFonts w:ascii="Verdana" w:hAnsi="Verdana"/>
          <w:sz w:val="20"/>
          <w:szCs w:val="20"/>
        </w:rPr>
        <w:t xml:space="preserve"> adicional sobre el componente en moneda extranjera de los Activos Líquidos (disponible e inversiones), por razón del eventual riesgo cambiario en que podrían incurrir en el horizonte de un mes en caso de tener que liquidar posiciones en moneda extranjera para atender necesidades de liquidez. Dicho </w:t>
      </w:r>
      <w:r w:rsidRPr="00B134B5">
        <w:rPr>
          <w:rFonts w:ascii="Verdana" w:hAnsi="Verdana"/>
          <w:i/>
          <w:iCs/>
          <w:sz w:val="20"/>
          <w:szCs w:val="20"/>
        </w:rPr>
        <w:t>haircut</w:t>
      </w:r>
      <w:r w:rsidRPr="00930253">
        <w:rPr>
          <w:rFonts w:ascii="Verdana" w:hAnsi="Verdana"/>
          <w:sz w:val="20"/>
          <w:szCs w:val="20"/>
        </w:rPr>
        <w:t xml:space="preserve"> a 30 días será actualizado cuando se modifique la volatilidad a 10 días </w:t>
      </w:r>
      <w:r w:rsidRPr="00B134B5">
        <w:rPr>
          <w:rFonts w:ascii="Verdana" w:hAnsi="Verdana"/>
          <w:sz w:val="20"/>
          <w:szCs w:val="20"/>
        </w:rPr>
        <w:t xml:space="preserve">de la Tasa Representativa del Mercado para efectos del cálculo del Valor en Riesgo por riesgo cambiario, en el </w:t>
      </w:r>
      <w:r w:rsidR="00B134B5" w:rsidRPr="00B134B5">
        <w:rPr>
          <w:rFonts w:ascii="Verdana" w:hAnsi="Verdana"/>
          <w:sz w:val="20"/>
          <w:szCs w:val="20"/>
        </w:rPr>
        <w:t>a</w:t>
      </w:r>
      <w:r w:rsidRPr="00B134B5">
        <w:rPr>
          <w:rFonts w:ascii="Verdana" w:hAnsi="Verdana"/>
          <w:sz w:val="20"/>
          <w:szCs w:val="20"/>
        </w:rPr>
        <w:t>nexo</w:t>
      </w:r>
      <w:r w:rsidRPr="00B134B5">
        <w:rPr>
          <w:rFonts w:ascii="Verdana" w:hAnsi="Verdana"/>
          <w:color w:val="FF0000"/>
          <w:sz w:val="20"/>
          <w:szCs w:val="20"/>
        </w:rPr>
        <w:t xml:space="preserve"> </w:t>
      </w:r>
      <w:r w:rsidR="00B134B5" w:rsidRPr="00B134B5">
        <w:rPr>
          <w:rFonts w:ascii="Verdana" w:hAnsi="Verdana"/>
          <w:sz w:val="20"/>
          <w:szCs w:val="20"/>
        </w:rPr>
        <w:t xml:space="preserve">6 del capítulo 1 de la parte 1 de la </w:t>
      </w:r>
      <w:r w:rsidR="00412684">
        <w:rPr>
          <w:rFonts w:ascii="Verdana" w:hAnsi="Verdana"/>
          <w:sz w:val="20"/>
          <w:szCs w:val="20"/>
        </w:rPr>
        <w:t>CBF</w:t>
      </w:r>
      <w:r w:rsidR="00B134B5" w:rsidRPr="00B134B5">
        <w:rPr>
          <w:rFonts w:ascii="Verdana" w:hAnsi="Verdana"/>
          <w:sz w:val="20"/>
          <w:szCs w:val="20"/>
        </w:rPr>
        <w:t>.</w:t>
      </w:r>
      <w:r w:rsidR="00B134B5">
        <w:rPr>
          <w:rFonts w:ascii="Verdana" w:hAnsi="Verdana"/>
          <w:sz w:val="20"/>
          <w:szCs w:val="20"/>
        </w:rPr>
        <w:t xml:space="preserve"> </w:t>
      </w:r>
    </w:p>
    <w:p w14:paraId="238BD408" w14:textId="349D7E88" w:rsidR="00573E9F" w:rsidRPr="000E0B7B" w:rsidRDefault="00573E9F" w:rsidP="00573E9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4</w:t>
      </w:r>
      <w:r w:rsidR="00293457">
        <w:rPr>
          <w:rFonts w:ascii="Verdana" w:hAnsi="Verdana"/>
          <w:sz w:val="20"/>
          <w:szCs w:val="20"/>
        </w:rPr>
        <w:t>2</w:t>
      </w:r>
      <w:r w:rsidRPr="000E0B7B">
        <w:rPr>
          <w:rFonts w:ascii="Verdana" w:hAnsi="Verdana"/>
          <w:sz w:val="20"/>
          <w:szCs w:val="20"/>
        </w:rPr>
        <w:t>.</w:t>
      </w:r>
    </w:p>
    <w:p w14:paraId="3EA40D84" w14:textId="31C9EF2B" w:rsidR="00930253" w:rsidRPr="00573E9F" w:rsidRDefault="00930253" w:rsidP="00573E9F">
      <w:pPr>
        <w:jc w:val="both"/>
        <w:rPr>
          <w:rFonts w:ascii="Verdana" w:hAnsi="Verdana"/>
          <w:sz w:val="20"/>
          <w:szCs w:val="20"/>
        </w:rPr>
      </w:pPr>
      <w:r w:rsidRPr="00573E9F">
        <w:rPr>
          <w:rFonts w:ascii="Verdana" w:hAnsi="Verdana"/>
          <w:sz w:val="20"/>
          <w:szCs w:val="20"/>
        </w:rPr>
        <w:t xml:space="preserve">Se consideran Activos Líquidos de Alta Calidad (ALAC) el disponible, en todos los casos, y aquellos activos líquidos que admita el Banco de la República para las operaciones de liquidez para el normal funcionamiento del sistema de pagos (repo intradía y su conversión automática en </w:t>
      </w:r>
      <w:r w:rsidRPr="00573E9F">
        <w:rPr>
          <w:rFonts w:ascii="Verdana" w:hAnsi="Verdana"/>
          <w:i/>
          <w:iCs/>
          <w:sz w:val="20"/>
          <w:szCs w:val="20"/>
        </w:rPr>
        <w:t>overnight</w:t>
      </w:r>
      <w:r w:rsidRPr="00573E9F">
        <w:rPr>
          <w:rFonts w:ascii="Verdana" w:hAnsi="Verdana"/>
          <w:sz w:val="20"/>
          <w:szCs w:val="20"/>
        </w:rPr>
        <w:t xml:space="preserve">, y repo </w:t>
      </w:r>
      <w:r w:rsidRPr="00573E9F">
        <w:rPr>
          <w:rFonts w:ascii="Verdana" w:hAnsi="Verdana"/>
          <w:i/>
          <w:iCs/>
          <w:sz w:val="20"/>
          <w:szCs w:val="20"/>
        </w:rPr>
        <w:t xml:space="preserve">overnight </w:t>
      </w:r>
      <w:r w:rsidRPr="00573E9F">
        <w:rPr>
          <w:rFonts w:ascii="Verdana" w:hAnsi="Verdana"/>
          <w:sz w:val="20"/>
          <w:szCs w:val="20"/>
        </w:rPr>
        <w:t>por compensación), siempre y cuando la entidad se encuentre habilitada para realizar operaciones repo intradía con conversión a overnight por intradía. En el caso en que la entidad no se encuentre habilitada para realizar dichas operaciones se contarán dentro del conjunto de ALAC únicamente aquellos títulos que sean de cotización obligatoria en el Programa de Creadores de Mercado de Deuda Pública.</w:t>
      </w:r>
    </w:p>
    <w:p w14:paraId="7CC317C0" w14:textId="7D05DAA4" w:rsidR="00E03A30" w:rsidRPr="000E0B7B" w:rsidRDefault="00E03A30" w:rsidP="00E03A3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sidR="00B21E2A">
        <w:rPr>
          <w:rFonts w:ascii="Verdana" w:hAnsi="Verdana"/>
          <w:sz w:val="20"/>
          <w:szCs w:val="20"/>
        </w:rPr>
        <w:t>4</w:t>
      </w:r>
      <w:r w:rsidR="00293457">
        <w:rPr>
          <w:rFonts w:ascii="Verdana" w:hAnsi="Verdana"/>
          <w:sz w:val="20"/>
          <w:szCs w:val="20"/>
        </w:rPr>
        <w:t>3</w:t>
      </w:r>
      <w:r w:rsidRPr="000E0B7B">
        <w:rPr>
          <w:rFonts w:ascii="Verdana" w:hAnsi="Verdana"/>
          <w:sz w:val="20"/>
          <w:szCs w:val="20"/>
        </w:rPr>
        <w:t>.</w:t>
      </w:r>
    </w:p>
    <w:p w14:paraId="360CF538" w14:textId="0260C6BD" w:rsidR="00BB78CF" w:rsidRDefault="00930253" w:rsidP="008727B9">
      <w:pPr>
        <w:jc w:val="both"/>
        <w:rPr>
          <w:rFonts w:ascii="Verdana" w:hAnsi="Verdana"/>
          <w:sz w:val="20"/>
          <w:szCs w:val="20"/>
        </w:rPr>
      </w:pPr>
      <w:r w:rsidRPr="00573E9F">
        <w:rPr>
          <w:rFonts w:ascii="Verdana" w:hAnsi="Verdana"/>
          <w:sz w:val="20"/>
          <w:szCs w:val="20"/>
        </w:rPr>
        <w:t>En todo caso, las inversiones clasificadas al vencimiento (costo amortizado) no se consideran ALAC dado que, de acuerdo con las instrucciones de esta Superintendencia, no se pueden realizar operaciones de reporto o repo, simultáneas o de transferencia temporal de valores con estas inversiones, salvo que se trate de las inversiones forzosas u obligatorias suscritas en el mercado primario y siempre que la contraparte de la operación sea el Banco de la República, la Dirección General de Crédito Público y del Tesoro Nacional o las entidades vigiladas por la SFC.</w:t>
      </w:r>
    </w:p>
    <w:p w14:paraId="3C48EA93" w14:textId="36A166F1" w:rsidR="00930253" w:rsidRPr="00930253" w:rsidRDefault="00BB78CF" w:rsidP="00930253">
      <w:pPr>
        <w:jc w:val="both"/>
        <w:rPr>
          <w:rFonts w:ascii="Verdana" w:hAnsi="Verdana"/>
          <w:sz w:val="20"/>
          <w:szCs w:val="20"/>
        </w:rPr>
      </w:pPr>
      <w:r w:rsidRPr="00BB78CF">
        <w:rPr>
          <w:rFonts w:ascii="Verdana" w:hAnsi="Verdana"/>
          <w:b/>
          <w:bCs/>
          <w:sz w:val="20"/>
          <w:szCs w:val="20"/>
        </w:rPr>
        <w:t>C</w:t>
      </w:r>
      <w:r w:rsidR="00930253" w:rsidRPr="003B1055">
        <w:rPr>
          <w:rFonts w:ascii="Verdana" w:hAnsi="Verdana"/>
          <w:b/>
          <w:bCs/>
          <w:sz w:val="20"/>
          <w:szCs w:val="20"/>
        </w:rPr>
        <w:t>álculo del Indicador de Riesgo de Liquidez (</w:t>
      </w:r>
      <w:proofErr w:type="spellStart"/>
      <w:r w:rsidR="00930253" w:rsidRPr="003B1055">
        <w:rPr>
          <w:rFonts w:ascii="Verdana" w:hAnsi="Verdana"/>
          <w:b/>
          <w:bCs/>
          <w:sz w:val="20"/>
          <w:szCs w:val="20"/>
        </w:rPr>
        <w:t>IRLm</w:t>
      </w:r>
      <w:proofErr w:type="spellEnd"/>
      <w:r w:rsidR="00930253" w:rsidRPr="003B1055">
        <w:rPr>
          <w:rFonts w:ascii="Verdana" w:hAnsi="Verdana"/>
          <w:b/>
          <w:bCs/>
          <w:sz w:val="20"/>
          <w:szCs w:val="20"/>
        </w:rPr>
        <w:t>) (en monto)</w:t>
      </w:r>
    </w:p>
    <w:p w14:paraId="78E9D783" w14:textId="2CA3619D" w:rsidR="00A6326A" w:rsidRPr="000E0B7B" w:rsidRDefault="00A6326A" w:rsidP="00A6326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4</w:t>
      </w:r>
      <w:r w:rsidR="00293457">
        <w:rPr>
          <w:rFonts w:ascii="Verdana" w:hAnsi="Verdana"/>
          <w:sz w:val="20"/>
          <w:szCs w:val="20"/>
        </w:rPr>
        <w:t>4</w:t>
      </w:r>
      <w:r w:rsidRPr="000E0B7B">
        <w:rPr>
          <w:rFonts w:ascii="Verdana" w:hAnsi="Verdana"/>
          <w:sz w:val="20"/>
          <w:szCs w:val="20"/>
        </w:rPr>
        <w:t>.</w:t>
      </w:r>
    </w:p>
    <w:p w14:paraId="6174D25C" w14:textId="1B770B85" w:rsidR="00930253" w:rsidRDefault="00930253" w:rsidP="008727B9">
      <w:pPr>
        <w:jc w:val="both"/>
        <w:rPr>
          <w:rFonts w:ascii="Verdana" w:hAnsi="Verdana"/>
          <w:sz w:val="20"/>
          <w:szCs w:val="20"/>
        </w:rPr>
      </w:pPr>
      <w:r w:rsidRPr="00930253">
        <w:rPr>
          <w:rFonts w:ascii="Verdana" w:hAnsi="Verdana"/>
          <w:sz w:val="20"/>
          <w:szCs w:val="20"/>
        </w:rPr>
        <w:t>El Indicador de Riesgo de Liquidez (</w:t>
      </w:r>
      <w:proofErr w:type="spellStart"/>
      <w:r w:rsidRPr="00930253">
        <w:rPr>
          <w:rFonts w:ascii="Verdana" w:hAnsi="Verdana"/>
          <w:sz w:val="20"/>
          <w:szCs w:val="20"/>
        </w:rPr>
        <w:t>IRL</w:t>
      </w:r>
      <w:r w:rsidRPr="00930253">
        <w:rPr>
          <w:rFonts w:ascii="Verdana" w:hAnsi="Verdana"/>
          <w:sz w:val="20"/>
          <w:szCs w:val="20"/>
          <w:vertAlign w:val="subscript"/>
        </w:rPr>
        <w:t>m</w:t>
      </w:r>
      <w:proofErr w:type="spellEnd"/>
      <w:r w:rsidRPr="00930253">
        <w:rPr>
          <w:rFonts w:ascii="Verdana" w:hAnsi="Verdana"/>
          <w:sz w:val="20"/>
          <w:szCs w:val="20"/>
        </w:rPr>
        <w:t xml:space="preserve">) en cada fecha de evaluación será la diferencia de los activos líquidos ajustados por liquidez de mercado y riesgo cambiario (ALM), y el requerimiento de liquidez neto total de la primera (1ª) banda, o de la sumatoria de las 3 primeras bandas de tiempo (RLN), según corresponda. </w:t>
      </w:r>
      <w:r w:rsidR="00CB5C09">
        <w:rPr>
          <w:rFonts w:ascii="Verdana" w:hAnsi="Verdana"/>
          <w:sz w:val="20"/>
          <w:szCs w:val="20"/>
        </w:rPr>
        <w:t xml:space="preserve">El </w:t>
      </w:r>
      <w:r w:rsidRPr="00930253">
        <w:rPr>
          <w:rFonts w:ascii="Verdana" w:hAnsi="Verdana"/>
          <w:sz w:val="20"/>
          <w:szCs w:val="20"/>
        </w:rPr>
        <w:t>cálculo se expresa de la siguiente manera:</w:t>
      </w:r>
    </w:p>
    <w:p w14:paraId="525B88C5" w14:textId="0F697FEC" w:rsidR="008727B9" w:rsidRPr="00930253" w:rsidRDefault="00611ADD" w:rsidP="008727B9">
      <w:pPr>
        <w:jc w:val="both"/>
        <w:rPr>
          <w:rFonts w:ascii="Verdana" w:hAnsi="Verdana"/>
          <w:sz w:val="20"/>
          <w:szCs w:val="20"/>
        </w:rPr>
      </w:pPr>
      <m:oMathPara>
        <m:oMath>
          <m:sSub>
            <m:sSubPr>
              <m:ctrlPr>
                <w:rPr>
                  <w:rFonts w:ascii="Cambria Math" w:hAnsi="Cambria Math"/>
                  <w:i/>
                  <w:sz w:val="20"/>
                  <w:szCs w:val="20"/>
                </w:rPr>
              </m:ctrlPr>
            </m:sSubPr>
            <m:e>
              <m:r>
                <w:rPr>
                  <w:rFonts w:ascii="Cambria Math" w:hAnsi="Cambria Math"/>
                  <w:sz w:val="20"/>
                  <w:szCs w:val="20"/>
                </w:rPr>
                <m:t>IRL</m:t>
              </m:r>
            </m:e>
            <m:sub>
              <m:r>
                <w:rPr>
                  <w:rFonts w:ascii="Cambria Math" w:hAnsi="Cambria Math"/>
                  <w:sz w:val="20"/>
                  <w:szCs w:val="20"/>
                </w:rPr>
                <m:t>m</m:t>
              </m:r>
            </m:sub>
          </m:sSub>
          <m:r>
            <w:rPr>
              <w:rFonts w:ascii="Cambria Math" w:hAnsi="Cambria Math"/>
              <w:sz w:val="20"/>
              <w:szCs w:val="20"/>
            </w:rPr>
            <m:t>=</m:t>
          </m:r>
          <m:r>
            <w:rPr>
              <w:rFonts w:ascii="Cambria Math" w:hAnsi="Cambria Math"/>
              <w:sz w:val="20"/>
              <w:szCs w:val="20"/>
            </w:rPr>
            <m:t>ALM</m:t>
          </m:r>
          <m:r>
            <w:rPr>
              <w:rFonts w:ascii="Cambria Math" w:hAnsi="Cambria Math"/>
              <w:sz w:val="20"/>
              <w:szCs w:val="20"/>
            </w:rPr>
            <m:t>-</m:t>
          </m:r>
          <m:r>
            <w:rPr>
              <w:rFonts w:ascii="Cambria Math" w:hAnsi="Cambria Math"/>
              <w:sz w:val="20"/>
              <w:szCs w:val="20"/>
            </w:rPr>
            <m:t>RLN</m:t>
          </m:r>
        </m:oMath>
      </m:oMathPara>
    </w:p>
    <w:p w14:paraId="5EC39AF1" w14:textId="77777777" w:rsidR="00930253" w:rsidRPr="00930253" w:rsidRDefault="00930253" w:rsidP="00930253">
      <w:pPr>
        <w:jc w:val="both"/>
        <w:rPr>
          <w:rFonts w:ascii="Verdana" w:hAnsi="Verdana"/>
          <w:sz w:val="20"/>
          <w:szCs w:val="20"/>
        </w:rPr>
      </w:pPr>
      <w:r w:rsidRPr="00930253">
        <w:rPr>
          <w:rFonts w:ascii="Verdana" w:hAnsi="Verdana"/>
          <w:sz w:val="20"/>
          <w:szCs w:val="20"/>
        </w:rPr>
        <w:t>Donde:</w:t>
      </w:r>
    </w:p>
    <w:p w14:paraId="111C0664" w14:textId="63263E0B" w:rsidR="00930253" w:rsidRDefault="00930253" w:rsidP="00DA70E4">
      <w:pPr>
        <w:pStyle w:val="Prrafodelista"/>
        <w:numPr>
          <w:ilvl w:val="0"/>
          <w:numId w:val="48"/>
        </w:numPr>
        <w:ind w:left="567" w:hanging="567"/>
        <w:jc w:val="both"/>
        <w:outlineLvl w:val="0"/>
        <w:rPr>
          <w:rFonts w:ascii="Verdana" w:hAnsi="Verdana"/>
          <w:sz w:val="20"/>
          <w:szCs w:val="20"/>
        </w:rPr>
      </w:pPr>
      <w:r w:rsidRPr="00DD4278">
        <w:rPr>
          <w:rFonts w:ascii="Verdana" w:hAnsi="Verdana"/>
          <w:i/>
          <w:iCs/>
          <w:sz w:val="20"/>
          <w:szCs w:val="20"/>
        </w:rPr>
        <w:t>ALM</w:t>
      </w:r>
      <w:r w:rsidRPr="00DA70E4">
        <w:rPr>
          <w:rFonts w:ascii="Verdana" w:hAnsi="Verdana"/>
          <w:sz w:val="20"/>
          <w:szCs w:val="20"/>
        </w:rPr>
        <w:t>:</w:t>
      </w:r>
      <w:r w:rsidR="00DA70E4">
        <w:rPr>
          <w:rFonts w:ascii="Verdana" w:hAnsi="Verdana"/>
          <w:sz w:val="20"/>
          <w:szCs w:val="20"/>
        </w:rPr>
        <w:t xml:space="preserve"> </w:t>
      </w:r>
      <w:r w:rsidR="007A5076">
        <w:rPr>
          <w:rFonts w:ascii="Verdana" w:hAnsi="Verdana"/>
          <w:sz w:val="20"/>
          <w:szCs w:val="20"/>
        </w:rPr>
        <w:t>son los a</w:t>
      </w:r>
      <w:r w:rsidRPr="00DA70E4">
        <w:rPr>
          <w:rFonts w:ascii="Verdana" w:hAnsi="Verdana"/>
          <w:sz w:val="20"/>
          <w:szCs w:val="20"/>
        </w:rPr>
        <w:t>ctivos líquidos ajustados por liquidez de mercado y riesgo cambiario, en la fecha de la evaluación</w:t>
      </w:r>
      <w:r w:rsidR="00350A3E">
        <w:rPr>
          <w:rFonts w:ascii="Verdana" w:hAnsi="Verdana"/>
          <w:sz w:val="20"/>
          <w:szCs w:val="20"/>
        </w:rPr>
        <w:t>, teniendo en cuenta:</w:t>
      </w:r>
    </w:p>
    <w:p w14:paraId="3BB75E64" w14:textId="0C01956A" w:rsidR="00350A3E" w:rsidRPr="00ED2283" w:rsidRDefault="00350A3E" w:rsidP="00350A3E">
      <w:pPr>
        <w:jc w:val="both"/>
        <w:outlineLvl w:val="0"/>
        <w:rPr>
          <w:rFonts w:ascii="Verdana" w:eastAsiaTheme="minorEastAsia" w:hAnsi="Verdana"/>
          <w:sz w:val="20"/>
          <w:szCs w:val="20"/>
        </w:rPr>
      </w:pPr>
      <m:oMathPara>
        <m:oMath>
          <m:r>
            <w:rPr>
              <w:rFonts w:ascii="Cambria Math" w:hAnsi="Cambria Math"/>
              <w:sz w:val="20"/>
              <w:szCs w:val="20"/>
            </w:rPr>
            <m:t>ALM=ALAC+min</m:t>
          </m:r>
          <m:d>
            <m:dPr>
              <m:ctrlPr>
                <w:rPr>
                  <w:rFonts w:ascii="Cambria Math" w:hAnsi="Cambria Math"/>
                  <w:i/>
                  <w:sz w:val="20"/>
                  <w:szCs w:val="20"/>
                </w:rPr>
              </m:ctrlPr>
            </m:dPr>
            <m:e>
              <m:r>
                <w:rPr>
                  <w:rFonts w:ascii="Cambria Math" w:hAnsi="Cambria Math"/>
                  <w:sz w:val="20"/>
                  <w:szCs w:val="20"/>
                </w:rPr>
                <m:t>OAL;  ALAC*</m:t>
              </m:r>
              <m:f>
                <m:fPr>
                  <m:ctrlPr>
                    <w:rPr>
                      <w:rFonts w:ascii="Cambria Math" w:hAnsi="Cambria Math"/>
                      <w:i/>
                      <w:sz w:val="20"/>
                      <w:szCs w:val="20"/>
                    </w:rPr>
                  </m:ctrlPr>
                </m:fPr>
                <m:num>
                  <m:r>
                    <w:rPr>
                      <w:rFonts w:ascii="Cambria Math" w:hAnsi="Cambria Math"/>
                      <w:sz w:val="20"/>
                      <w:szCs w:val="20"/>
                    </w:rPr>
                    <m:t>3</m:t>
                  </m:r>
                </m:num>
                <m:den>
                  <m:r>
                    <w:rPr>
                      <w:rFonts w:ascii="Cambria Math" w:hAnsi="Cambria Math"/>
                      <w:sz w:val="20"/>
                      <w:szCs w:val="20"/>
                    </w:rPr>
                    <m:t>7</m:t>
                  </m:r>
                </m:den>
              </m:f>
            </m:e>
          </m:d>
        </m:oMath>
      </m:oMathPara>
    </w:p>
    <w:p w14:paraId="40E057E2" w14:textId="7ACC93DF" w:rsidR="00ED2283" w:rsidRPr="00350A3E" w:rsidRDefault="00ED2283" w:rsidP="00ED2283">
      <w:pPr>
        <w:jc w:val="both"/>
        <w:outlineLvl w:val="0"/>
        <w:rPr>
          <w:rFonts w:ascii="Verdana" w:hAnsi="Verdana"/>
          <w:sz w:val="20"/>
          <w:szCs w:val="20"/>
        </w:rPr>
      </w:pPr>
      <m:oMathPara>
        <m:oMath>
          <m:r>
            <w:rPr>
              <w:rFonts w:ascii="Cambria Math" w:hAnsi="Cambria Math"/>
              <w:sz w:val="20"/>
              <w:szCs w:val="20"/>
            </w:rPr>
            <m:t>ALAC=DML+DME*</m:t>
          </m:r>
          <m:d>
            <m:dPr>
              <m:ctrlPr>
                <w:rPr>
                  <w:rFonts w:ascii="Cambria Math" w:hAnsi="Cambria Math"/>
                  <w:i/>
                  <w:sz w:val="20"/>
                  <w:szCs w:val="20"/>
                </w:rPr>
              </m:ctrlPr>
            </m:dPr>
            <m:e>
              <m:r>
                <w:rPr>
                  <w:rFonts w:ascii="Cambria Math" w:hAnsi="Cambria Math"/>
                  <w:sz w:val="20"/>
                  <w:szCs w:val="20"/>
                </w:rPr>
                <m:t>1-HRC</m:t>
              </m:r>
            </m:e>
          </m:d>
          <m:r>
            <w:rPr>
              <w:rFonts w:ascii="Cambria Math" w:hAnsi="Cambria Math"/>
              <w:sz w:val="20"/>
              <w:szCs w:val="20"/>
            </w:rPr>
            <m:t xml:space="preserve">+ </m:t>
          </m:r>
          <m:nary>
            <m:naryPr>
              <m:chr m:val="∑"/>
              <m:limLoc m:val="subSup"/>
              <m:supHide m:val="1"/>
              <m:ctrlPr>
                <w:rPr>
                  <w:rFonts w:ascii="Cambria Math" w:hAnsi="Cambria Math"/>
                  <w:i/>
                  <w:sz w:val="20"/>
                  <w:szCs w:val="20"/>
                </w:rPr>
              </m:ctrlPr>
            </m:naryPr>
            <m:sub>
              <m:r>
                <w:rPr>
                  <w:rFonts w:ascii="Cambria Math" w:hAnsi="Cambria Math"/>
                  <w:sz w:val="20"/>
                  <w:szCs w:val="20"/>
                </w:rPr>
                <m:t>i</m:t>
              </m:r>
            </m:sub>
            <m:sup/>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PJIInvML</m:t>
                      </m:r>
                    </m:e>
                    <m:sub>
                      <m:r>
                        <w:rPr>
                          <w:rFonts w:ascii="Cambria Math" w:hAnsi="Cambria Math"/>
                          <w:sz w:val="20"/>
                          <w:szCs w:val="20"/>
                        </w:rPr>
                        <m:t>i</m:t>
                      </m:r>
                    </m:sub>
                    <m:sup>
                      <m:r>
                        <w:rPr>
                          <w:rFonts w:ascii="Cambria Math" w:hAnsi="Cambria Math"/>
                          <w:sz w:val="20"/>
                          <w:szCs w:val="20"/>
                        </w:rPr>
                        <m:t>AC</m:t>
                      </m:r>
                    </m:sup>
                  </m:sSubSup>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HLM</m:t>
                          </m:r>
                        </m:e>
                        <m:sub>
                          <m:r>
                            <w:rPr>
                              <w:rFonts w:ascii="Cambria Math" w:hAnsi="Cambria Math"/>
                              <w:sz w:val="20"/>
                              <w:szCs w:val="20"/>
                            </w:rPr>
                            <m:t>i</m:t>
                          </m:r>
                        </m:sub>
                      </m:sSub>
                    </m:e>
                  </m:d>
                </m:e>
              </m:d>
            </m:e>
          </m:nary>
          <m:r>
            <w:rPr>
              <w:rFonts w:ascii="Cambria Math" w:hAnsi="Cambria Math"/>
              <w:sz w:val="20"/>
              <w:szCs w:val="20"/>
            </w:rPr>
            <m:t>+</m:t>
          </m:r>
          <m:nary>
            <m:naryPr>
              <m:chr m:val="∑"/>
              <m:limLoc m:val="subSup"/>
              <m:supHide m:val="1"/>
              <m:ctrlPr>
                <w:rPr>
                  <w:rFonts w:ascii="Cambria Math" w:hAnsi="Cambria Math"/>
                  <w:i/>
                  <w:sz w:val="20"/>
                  <w:szCs w:val="20"/>
                </w:rPr>
              </m:ctrlPr>
            </m:naryPr>
            <m:sub>
              <m:r>
                <w:rPr>
                  <w:rFonts w:ascii="Cambria Math" w:hAnsi="Cambria Math"/>
                  <w:sz w:val="20"/>
                  <w:szCs w:val="20"/>
                </w:rPr>
                <m:t>i</m:t>
              </m:r>
            </m:sub>
            <m:sup/>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PJIInvME</m:t>
                      </m:r>
                    </m:e>
                    <m:sub>
                      <m:r>
                        <w:rPr>
                          <w:rFonts w:ascii="Cambria Math" w:hAnsi="Cambria Math"/>
                          <w:sz w:val="20"/>
                          <w:szCs w:val="20"/>
                        </w:rPr>
                        <m:t>i</m:t>
                      </m:r>
                    </m:sub>
                    <m:sup>
                      <m:r>
                        <w:rPr>
                          <w:rFonts w:ascii="Cambria Math" w:hAnsi="Cambria Math"/>
                          <w:sz w:val="20"/>
                          <w:szCs w:val="20"/>
                        </w:rPr>
                        <m:t>AC</m:t>
                      </m:r>
                    </m:sup>
                  </m:sSubSup>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HLM</m:t>
                          </m:r>
                        </m:e>
                        <m:sub>
                          <m:r>
                            <w:rPr>
                              <w:rFonts w:ascii="Cambria Math" w:hAnsi="Cambria Math"/>
                              <w:sz w:val="20"/>
                              <w:szCs w:val="20"/>
                            </w:rPr>
                            <m:t>i</m:t>
                          </m:r>
                        </m:sub>
                      </m:sSub>
                    </m:e>
                  </m:d>
                  <m:r>
                    <w:rPr>
                      <w:rFonts w:ascii="Cambria Math" w:hAnsi="Cambria Math"/>
                      <w:sz w:val="20"/>
                      <w:szCs w:val="20"/>
                    </w:rPr>
                    <m:t>*(1-HRC)</m:t>
                  </m:r>
                </m:e>
              </m:d>
            </m:e>
          </m:nary>
        </m:oMath>
      </m:oMathPara>
    </w:p>
    <w:p w14:paraId="2A1BB414" w14:textId="27680A2F" w:rsidR="00930253" w:rsidRPr="00087182" w:rsidRDefault="008839CA" w:rsidP="00087182">
      <w:pPr>
        <w:jc w:val="both"/>
        <w:outlineLvl w:val="0"/>
        <w:rPr>
          <w:rFonts w:ascii="Verdana" w:eastAsiaTheme="minorEastAsia" w:hAnsi="Verdana"/>
          <w:sz w:val="20"/>
          <w:szCs w:val="20"/>
        </w:rPr>
      </w:pPr>
      <m:oMathPara>
        <m:oMath>
          <m:r>
            <w:rPr>
              <w:rFonts w:ascii="Cambria Math" w:hAnsi="Cambria Math"/>
              <w:sz w:val="20"/>
              <w:szCs w:val="20"/>
            </w:rPr>
            <m:t>OAL=</m:t>
          </m:r>
          <m:nary>
            <m:naryPr>
              <m:chr m:val="∑"/>
              <m:limLoc m:val="subSup"/>
              <m:supHide m:val="1"/>
              <m:ctrlPr>
                <w:rPr>
                  <w:rFonts w:ascii="Cambria Math" w:hAnsi="Cambria Math"/>
                  <w:i/>
                  <w:sz w:val="20"/>
                  <w:szCs w:val="20"/>
                </w:rPr>
              </m:ctrlPr>
            </m:naryPr>
            <m:sub>
              <m:r>
                <w:rPr>
                  <w:rFonts w:ascii="Cambria Math" w:hAnsi="Cambria Math"/>
                  <w:sz w:val="20"/>
                  <w:szCs w:val="20"/>
                </w:rPr>
                <m:t>i</m:t>
              </m:r>
            </m:sub>
            <m:sup/>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PJIInvML</m:t>
                      </m:r>
                    </m:e>
                    <m:sub>
                      <m:r>
                        <w:rPr>
                          <w:rFonts w:ascii="Cambria Math" w:hAnsi="Cambria Math"/>
                          <w:sz w:val="20"/>
                          <w:szCs w:val="20"/>
                        </w:rPr>
                        <m:t>i</m:t>
                      </m:r>
                    </m:sub>
                    <m:sup>
                      <m:r>
                        <w:rPr>
                          <w:rFonts w:ascii="Cambria Math" w:hAnsi="Cambria Math"/>
                          <w:sz w:val="20"/>
                          <w:szCs w:val="20"/>
                        </w:rPr>
                        <m:t>OA</m:t>
                      </m:r>
                    </m:sup>
                  </m:sSubSup>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HLM</m:t>
                          </m:r>
                        </m:e>
                        <m:sub>
                          <m:r>
                            <w:rPr>
                              <w:rFonts w:ascii="Cambria Math" w:hAnsi="Cambria Math"/>
                              <w:sz w:val="20"/>
                              <w:szCs w:val="20"/>
                            </w:rPr>
                            <m:t>i</m:t>
                          </m:r>
                        </m:sub>
                      </m:sSub>
                    </m:e>
                  </m:d>
                </m:e>
              </m:d>
            </m:e>
          </m:nary>
          <m:r>
            <w:rPr>
              <w:rFonts w:ascii="Cambria Math" w:hAnsi="Cambria Math"/>
              <w:sz w:val="20"/>
              <w:szCs w:val="20"/>
            </w:rPr>
            <m:t>+</m:t>
          </m:r>
          <m:nary>
            <m:naryPr>
              <m:chr m:val="∑"/>
              <m:limLoc m:val="subSup"/>
              <m:supHide m:val="1"/>
              <m:ctrlPr>
                <w:rPr>
                  <w:rFonts w:ascii="Cambria Math" w:hAnsi="Cambria Math"/>
                  <w:i/>
                  <w:sz w:val="20"/>
                  <w:szCs w:val="20"/>
                </w:rPr>
              </m:ctrlPr>
            </m:naryPr>
            <m:sub>
              <m:r>
                <w:rPr>
                  <w:rFonts w:ascii="Cambria Math" w:hAnsi="Cambria Math"/>
                  <w:sz w:val="20"/>
                  <w:szCs w:val="20"/>
                </w:rPr>
                <m:t>i</m:t>
              </m:r>
            </m:sub>
            <m:sup/>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PJIInvME</m:t>
                      </m:r>
                    </m:e>
                    <m:sub>
                      <m:r>
                        <w:rPr>
                          <w:rFonts w:ascii="Cambria Math" w:hAnsi="Cambria Math"/>
                          <w:sz w:val="20"/>
                          <w:szCs w:val="20"/>
                        </w:rPr>
                        <m:t>i</m:t>
                      </m:r>
                    </m:sub>
                    <m:sup>
                      <m:r>
                        <w:rPr>
                          <w:rFonts w:ascii="Cambria Math" w:hAnsi="Cambria Math"/>
                          <w:sz w:val="20"/>
                          <w:szCs w:val="20"/>
                        </w:rPr>
                        <m:t>OA</m:t>
                      </m:r>
                    </m:sup>
                  </m:sSubSup>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HLM</m:t>
                          </m:r>
                        </m:e>
                        <m:sub>
                          <m:r>
                            <w:rPr>
                              <w:rFonts w:ascii="Cambria Math" w:hAnsi="Cambria Math"/>
                              <w:sz w:val="20"/>
                              <w:szCs w:val="20"/>
                            </w:rPr>
                            <m:t>i</m:t>
                          </m:r>
                        </m:sub>
                      </m:sSub>
                    </m:e>
                  </m:d>
                  <m:r>
                    <w:rPr>
                      <w:rFonts w:ascii="Cambria Math" w:hAnsi="Cambria Math"/>
                      <w:sz w:val="20"/>
                      <w:szCs w:val="20"/>
                    </w:rPr>
                    <m:t>*(1-HRC)</m:t>
                  </m:r>
                </m:e>
              </m:d>
            </m:e>
          </m:nary>
        </m:oMath>
      </m:oMathPara>
    </w:p>
    <w:p w14:paraId="16AAA925" w14:textId="77777777" w:rsidR="00930253" w:rsidRPr="00930253" w:rsidRDefault="00930253" w:rsidP="00BB6AA3">
      <w:pPr>
        <w:ind w:left="567"/>
        <w:jc w:val="both"/>
        <w:rPr>
          <w:rFonts w:ascii="Verdana" w:hAnsi="Verdana"/>
          <w:bCs/>
          <w:sz w:val="20"/>
          <w:szCs w:val="20"/>
        </w:rPr>
      </w:pPr>
      <w:r w:rsidRPr="00930253">
        <w:rPr>
          <w:rFonts w:ascii="Verdana" w:hAnsi="Verdana"/>
          <w:bCs/>
          <w:sz w:val="20"/>
          <w:szCs w:val="20"/>
        </w:rPr>
        <w:t>Donde:</w:t>
      </w:r>
    </w:p>
    <w:p w14:paraId="06808ECA" w14:textId="236F4FE1" w:rsidR="00930253" w:rsidRPr="00930253" w:rsidRDefault="00087182" w:rsidP="006F5EA5">
      <w:pPr>
        <w:ind w:left="567"/>
        <w:jc w:val="both"/>
        <w:rPr>
          <w:rFonts w:ascii="Verdana" w:hAnsi="Verdana"/>
          <w:sz w:val="20"/>
          <w:szCs w:val="20"/>
        </w:rPr>
      </w:pPr>
      <m:oMath>
        <m:r>
          <w:rPr>
            <w:rFonts w:ascii="Cambria Math" w:hAnsi="Cambria Math"/>
            <w:sz w:val="20"/>
            <w:szCs w:val="20"/>
          </w:rPr>
          <m:t>ALAC</m:t>
        </m:r>
      </m:oMath>
      <w:r w:rsidRPr="00A15D01">
        <w:rPr>
          <w:rFonts w:ascii="Verdana" w:hAnsi="Verdana"/>
          <w:bCs/>
          <w:sz w:val="20"/>
          <w:szCs w:val="20"/>
        </w:rPr>
        <w:t>:</w:t>
      </w:r>
      <w:r w:rsidR="00A15D01">
        <w:rPr>
          <w:rFonts w:ascii="Verdana" w:hAnsi="Verdana"/>
          <w:b/>
          <w:sz w:val="20"/>
          <w:szCs w:val="20"/>
        </w:rPr>
        <w:t xml:space="preserve"> </w:t>
      </w:r>
      <w:r w:rsidR="00A15D01" w:rsidRPr="00A15D01">
        <w:rPr>
          <w:rFonts w:ascii="Verdana" w:hAnsi="Verdana"/>
          <w:bCs/>
          <w:sz w:val="20"/>
          <w:szCs w:val="20"/>
        </w:rPr>
        <w:t>son los</w:t>
      </w:r>
      <w:r w:rsidR="00A15D01">
        <w:rPr>
          <w:rFonts w:ascii="Verdana" w:hAnsi="Verdana"/>
          <w:bCs/>
          <w:sz w:val="20"/>
          <w:szCs w:val="20"/>
        </w:rPr>
        <w:t xml:space="preserve"> </w:t>
      </w:r>
      <w:r w:rsidR="00A15D01" w:rsidRPr="00A15D01">
        <w:rPr>
          <w:rFonts w:ascii="Verdana" w:hAnsi="Verdana"/>
          <w:bCs/>
          <w:sz w:val="20"/>
          <w:szCs w:val="20"/>
        </w:rPr>
        <w:t>a</w:t>
      </w:r>
      <w:r w:rsidR="00930253" w:rsidRPr="00A15D01">
        <w:rPr>
          <w:rFonts w:ascii="Verdana" w:hAnsi="Verdana"/>
          <w:bCs/>
          <w:sz w:val="20"/>
          <w:szCs w:val="20"/>
        </w:rPr>
        <w:t>ctivos</w:t>
      </w:r>
      <w:r w:rsidR="00930253" w:rsidRPr="00930253">
        <w:rPr>
          <w:rFonts w:ascii="Verdana" w:hAnsi="Verdana"/>
          <w:sz w:val="20"/>
          <w:szCs w:val="20"/>
        </w:rPr>
        <w:t xml:space="preserve"> </w:t>
      </w:r>
      <w:r w:rsidR="00A15D01">
        <w:rPr>
          <w:rFonts w:ascii="Verdana" w:hAnsi="Verdana"/>
          <w:sz w:val="20"/>
          <w:szCs w:val="20"/>
        </w:rPr>
        <w:t>l</w:t>
      </w:r>
      <w:r w:rsidR="00930253" w:rsidRPr="00930253">
        <w:rPr>
          <w:rFonts w:ascii="Verdana" w:hAnsi="Verdana"/>
          <w:sz w:val="20"/>
          <w:szCs w:val="20"/>
        </w:rPr>
        <w:t xml:space="preserve">íquidos de </w:t>
      </w:r>
      <w:r w:rsidR="00A15D01">
        <w:rPr>
          <w:rFonts w:ascii="Verdana" w:hAnsi="Verdana"/>
          <w:sz w:val="20"/>
          <w:szCs w:val="20"/>
        </w:rPr>
        <w:t>a</w:t>
      </w:r>
      <w:r w:rsidR="00930253" w:rsidRPr="00930253">
        <w:rPr>
          <w:rFonts w:ascii="Verdana" w:hAnsi="Verdana"/>
          <w:sz w:val="20"/>
          <w:szCs w:val="20"/>
        </w:rPr>
        <w:t xml:space="preserve">lta </w:t>
      </w:r>
      <w:r w:rsidR="00A15D01">
        <w:rPr>
          <w:rFonts w:ascii="Verdana" w:hAnsi="Verdana"/>
          <w:sz w:val="20"/>
          <w:szCs w:val="20"/>
        </w:rPr>
        <w:t>c</w:t>
      </w:r>
      <w:r w:rsidR="00930253" w:rsidRPr="00930253">
        <w:rPr>
          <w:rFonts w:ascii="Verdana" w:hAnsi="Verdana"/>
          <w:sz w:val="20"/>
          <w:szCs w:val="20"/>
        </w:rPr>
        <w:t>alidad</w:t>
      </w:r>
      <w:r w:rsidR="007624BA">
        <w:rPr>
          <w:rFonts w:ascii="Verdana" w:hAnsi="Verdana"/>
          <w:sz w:val="20"/>
          <w:szCs w:val="20"/>
        </w:rPr>
        <w:t>.</w:t>
      </w:r>
    </w:p>
    <w:p w14:paraId="0CF297DA" w14:textId="371070A3" w:rsidR="00930253" w:rsidRPr="00930253" w:rsidRDefault="000E76DD" w:rsidP="006F5EA5">
      <w:pPr>
        <w:ind w:left="567"/>
        <w:jc w:val="both"/>
        <w:rPr>
          <w:rFonts w:ascii="Verdana" w:hAnsi="Verdana"/>
          <w:sz w:val="20"/>
          <w:szCs w:val="20"/>
        </w:rPr>
      </w:pPr>
      <m:oMath>
        <m:r>
          <w:rPr>
            <w:rFonts w:ascii="Cambria Math" w:hAnsi="Cambria Math"/>
            <w:sz w:val="20"/>
            <w:szCs w:val="20"/>
          </w:rPr>
          <m:t>OAL</m:t>
        </m:r>
      </m:oMath>
      <w:r>
        <w:rPr>
          <w:rFonts w:ascii="Verdana" w:hAnsi="Verdana"/>
          <w:sz w:val="20"/>
          <w:szCs w:val="20"/>
        </w:rPr>
        <w:t>: son o</w:t>
      </w:r>
      <w:r w:rsidR="00930253" w:rsidRPr="00930253">
        <w:rPr>
          <w:rFonts w:ascii="Verdana" w:hAnsi="Verdana"/>
          <w:sz w:val="20"/>
          <w:szCs w:val="20"/>
        </w:rPr>
        <w:t xml:space="preserve">tros </w:t>
      </w:r>
      <w:r>
        <w:rPr>
          <w:rFonts w:ascii="Verdana" w:hAnsi="Verdana"/>
          <w:sz w:val="20"/>
          <w:szCs w:val="20"/>
        </w:rPr>
        <w:t>a</w:t>
      </w:r>
      <w:r w:rsidR="00930253" w:rsidRPr="00930253">
        <w:rPr>
          <w:rFonts w:ascii="Verdana" w:hAnsi="Verdana"/>
          <w:sz w:val="20"/>
          <w:szCs w:val="20"/>
        </w:rPr>
        <w:t xml:space="preserve">ctivos </w:t>
      </w:r>
      <w:r>
        <w:rPr>
          <w:rFonts w:ascii="Verdana" w:hAnsi="Verdana"/>
          <w:sz w:val="20"/>
          <w:szCs w:val="20"/>
        </w:rPr>
        <w:t>l</w:t>
      </w:r>
      <w:r w:rsidR="00930253" w:rsidRPr="00930253">
        <w:rPr>
          <w:rFonts w:ascii="Verdana" w:hAnsi="Verdana"/>
          <w:sz w:val="20"/>
          <w:szCs w:val="20"/>
        </w:rPr>
        <w:t>íquidos</w:t>
      </w:r>
      <w:r w:rsidR="007624BA">
        <w:rPr>
          <w:rFonts w:ascii="Verdana" w:hAnsi="Verdana"/>
          <w:sz w:val="20"/>
          <w:szCs w:val="20"/>
        </w:rPr>
        <w:t>.</w:t>
      </w:r>
    </w:p>
    <w:p w14:paraId="51B85013" w14:textId="0CBDFB07" w:rsidR="00930253" w:rsidRPr="00930253" w:rsidRDefault="000E76DD" w:rsidP="006F5EA5">
      <w:pPr>
        <w:ind w:left="567"/>
        <w:jc w:val="both"/>
        <w:rPr>
          <w:rFonts w:ascii="Verdana" w:hAnsi="Verdana"/>
          <w:sz w:val="20"/>
          <w:szCs w:val="20"/>
        </w:rPr>
      </w:pPr>
      <m:oMath>
        <m:r>
          <w:rPr>
            <w:rFonts w:ascii="Cambria Math" w:hAnsi="Cambria Math"/>
            <w:sz w:val="20"/>
            <w:szCs w:val="20"/>
          </w:rPr>
          <m:t>DML</m:t>
        </m:r>
      </m:oMath>
      <w:r w:rsidR="00930253" w:rsidRPr="00930253">
        <w:rPr>
          <w:rFonts w:ascii="Verdana" w:hAnsi="Verdana"/>
          <w:sz w:val="20"/>
          <w:szCs w:val="20"/>
        </w:rPr>
        <w:t>:</w:t>
      </w:r>
      <w:r>
        <w:rPr>
          <w:rFonts w:ascii="Verdana" w:hAnsi="Verdana"/>
          <w:sz w:val="20"/>
          <w:szCs w:val="20"/>
        </w:rPr>
        <w:t xml:space="preserve"> es el d</w:t>
      </w:r>
      <w:r w:rsidR="00930253" w:rsidRPr="00930253">
        <w:rPr>
          <w:rFonts w:ascii="Verdana" w:hAnsi="Verdana"/>
          <w:sz w:val="20"/>
          <w:szCs w:val="20"/>
        </w:rPr>
        <w:t xml:space="preserve">isponible en </w:t>
      </w:r>
      <w:r>
        <w:rPr>
          <w:rFonts w:ascii="Verdana" w:hAnsi="Verdana"/>
          <w:sz w:val="20"/>
          <w:szCs w:val="20"/>
        </w:rPr>
        <w:t>m</w:t>
      </w:r>
      <w:r w:rsidR="00930253" w:rsidRPr="00930253">
        <w:rPr>
          <w:rFonts w:ascii="Verdana" w:hAnsi="Verdana"/>
          <w:sz w:val="20"/>
          <w:szCs w:val="20"/>
        </w:rPr>
        <w:t xml:space="preserve">oneda </w:t>
      </w:r>
      <w:r>
        <w:rPr>
          <w:rFonts w:ascii="Verdana" w:hAnsi="Verdana"/>
          <w:sz w:val="20"/>
          <w:szCs w:val="20"/>
        </w:rPr>
        <w:t>l</w:t>
      </w:r>
      <w:r w:rsidR="00930253" w:rsidRPr="00930253">
        <w:rPr>
          <w:rFonts w:ascii="Verdana" w:hAnsi="Verdana"/>
          <w:sz w:val="20"/>
          <w:szCs w:val="20"/>
        </w:rPr>
        <w:t>egal</w:t>
      </w:r>
      <w:r w:rsidR="007624BA">
        <w:rPr>
          <w:rFonts w:ascii="Verdana" w:hAnsi="Verdana"/>
          <w:sz w:val="20"/>
          <w:szCs w:val="20"/>
        </w:rPr>
        <w:t>.</w:t>
      </w:r>
    </w:p>
    <w:p w14:paraId="26E4C67D" w14:textId="6F53FEE7" w:rsidR="00930253" w:rsidRPr="00930253" w:rsidRDefault="00511355" w:rsidP="006F5EA5">
      <w:pPr>
        <w:ind w:left="567"/>
        <w:jc w:val="both"/>
        <w:rPr>
          <w:rFonts w:ascii="Verdana" w:hAnsi="Verdana"/>
          <w:sz w:val="20"/>
          <w:szCs w:val="20"/>
        </w:rPr>
      </w:pPr>
      <m:oMath>
        <m:r>
          <w:rPr>
            <w:rFonts w:ascii="Cambria Math" w:hAnsi="Cambria Math"/>
            <w:sz w:val="20"/>
            <w:szCs w:val="20"/>
          </w:rPr>
          <m:t>DME</m:t>
        </m:r>
      </m:oMath>
      <w:r w:rsidR="00930253" w:rsidRPr="00930253">
        <w:rPr>
          <w:rFonts w:ascii="Verdana" w:hAnsi="Verdana"/>
          <w:sz w:val="20"/>
          <w:szCs w:val="20"/>
        </w:rPr>
        <w:t>:</w:t>
      </w:r>
      <w:r>
        <w:rPr>
          <w:rFonts w:ascii="Verdana" w:hAnsi="Verdana"/>
          <w:sz w:val="20"/>
          <w:szCs w:val="20"/>
        </w:rPr>
        <w:t xml:space="preserve"> es el d</w:t>
      </w:r>
      <w:r w:rsidR="00930253" w:rsidRPr="00930253">
        <w:rPr>
          <w:rFonts w:ascii="Verdana" w:hAnsi="Verdana"/>
          <w:sz w:val="20"/>
          <w:szCs w:val="20"/>
        </w:rPr>
        <w:t xml:space="preserve">isponible en </w:t>
      </w:r>
      <w:r>
        <w:rPr>
          <w:rFonts w:ascii="Verdana" w:hAnsi="Verdana"/>
          <w:sz w:val="20"/>
          <w:szCs w:val="20"/>
        </w:rPr>
        <w:t>m</w:t>
      </w:r>
      <w:r w:rsidR="00930253" w:rsidRPr="00930253">
        <w:rPr>
          <w:rFonts w:ascii="Verdana" w:hAnsi="Verdana"/>
          <w:sz w:val="20"/>
          <w:szCs w:val="20"/>
        </w:rPr>
        <w:t xml:space="preserve">oneda </w:t>
      </w:r>
      <w:r>
        <w:rPr>
          <w:rFonts w:ascii="Verdana" w:hAnsi="Verdana"/>
          <w:sz w:val="20"/>
          <w:szCs w:val="20"/>
        </w:rPr>
        <w:t>e</w:t>
      </w:r>
      <w:r w:rsidR="00930253" w:rsidRPr="00930253">
        <w:rPr>
          <w:rFonts w:ascii="Verdana" w:hAnsi="Verdana"/>
          <w:sz w:val="20"/>
          <w:szCs w:val="20"/>
        </w:rPr>
        <w:t>xtranjera</w:t>
      </w:r>
      <w:r w:rsidR="007624BA">
        <w:rPr>
          <w:rFonts w:ascii="Verdana" w:hAnsi="Verdana"/>
          <w:sz w:val="20"/>
          <w:szCs w:val="20"/>
        </w:rPr>
        <w:t>.</w:t>
      </w:r>
    </w:p>
    <w:p w14:paraId="319F7E3B" w14:textId="0466C913" w:rsidR="00930253" w:rsidRPr="00930253" w:rsidRDefault="00227D1C" w:rsidP="006F5EA5">
      <w:pPr>
        <w:ind w:left="567"/>
        <w:jc w:val="both"/>
        <w:rPr>
          <w:rFonts w:ascii="Verdana" w:hAnsi="Verdana"/>
          <w:sz w:val="20"/>
          <w:szCs w:val="20"/>
        </w:rPr>
      </w:pPr>
      <m:oMath>
        <m:r>
          <w:rPr>
            <w:rFonts w:ascii="Cambria Math" w:hAnsi="Cambria Math"/>
            <w:sz w:val="20"/>
            <w:szCs w:val="20"/>
          </w:rPr>
          <m:t>HRC</m:t>
        </m:r>
      </m:oMath>
      <w:r w:rsidR="00930253" w:rsidRPr="00930253">
        <w:rPr>
          <w:rFonts w:ascii="Verdana" w:hAnsi="Verdana"/>
          <w:sz w:val="20"/>
          <w:szCs w:val="20"/>
        </w:rPr>
        <w:t>:</w:t>
      </w:r>
      <w:r>
        <w:rPr>
          <w:rFonts w:ascii="Verdana" w:hAnsi="Verdana"/>
          <w:sz w:val="20"/>
          <w:szCs w:val="20"/>
        </w:rPr>
        <w:t xml:space="preserve"> es el </w:t>
      </w:r>
      <w:r w:rsidRPr="00227D1C">
        <w:rPr>
          <w:rFonts w:ascii="Verdana" w:hAnsi="Verdana"/>
          <w:i/>
          <w:iCs/>
          <w:sz w:val="20"/>
          <w:szCs w:val="20"/>
        </w:rPr>
        <w:t>h</w:t>
      </w:r>
      <w:r w:rsidR="00930253" w:rsidRPr="00227D1C">
        <w:rPr>
          <w:rFonts w:ascii="Verdana" w:hAnsi="Verdana"/>
          <w:i/>
          <w:iCs/>
          <w:sz w:val="20"/>
          <w:szCs w:val="20"/>
        </w:rPr>
        <w:t>aircut</w:t>
      </w:r>
      <w:r w:rsidR="00930253" w:rsidRPr="00930253">
        <w:rPr>
          <w:rFonts w:ascii="Verdana" w:hAnsi="Verdana"/>
          <w:sz w:val="20"/>
          <w:szCs w:val="20"/>
        </w:rPr>
        <w:t xml:space="preserve"> a 30 días por </w:t>
      </w:r>
      <w:r>
        <w:rPr>
          <w:rFonts w:ascii="Verdana" w:hAnsi="Verdana"/>
          <w:sz w:val="20"/>
          <w:szCs w:val="20"/>
        </w:rPr>
        <w:t>r</w:t>
      </w:r>
      <w:r w:rsidR="00930253" w:rsidRPr="00930253">
        <w:rPr>
          <w:rFonts w:ascii="Verdana" w:hAnsi="Verdana"/>
          <w:sz w:val="20"/>
          <w:szCs w:val="20"/>
        </w:rPr>
        <w:t xml:space="preserve">iesgo </w:t>
      </w:r>
      <w:r>
        <w:rPr>
          <w:rFonts w:ascii="Verdana" w:hAnsi="Verdana"/>
          <w:sz w:val="20"/>
          <w:szCs w:val="20"/>
        </w:rPr>
        <w:t>c</w:t>
      </w:r>
      <w:r w:rsidR="00930253" w:rsidRPr="00930253">
        <w:rPr>
          <w:rFonts w:ascii="Verdana" w:hAnsi="Verdana"/>
          <w:sz w:val="20"/>
          <w:szCs w:val="20"/>
        </w:rPr>
        <w:t>ambiario</w:t>
      </w:r>
      <w:r w:rsidR="007624BA">
        <w:rPr>
          <w:rFonts w:ascii="Verdana" w:hAnsi="Verdana"/>
          <w:sz w:val="20"/>
          <w:szCs w:val="20"/>
        </w:rPr>
        <w:t>.</w:t>
      </w:r>
    </w:p>
    <w:p w14:paraId="4EBA6896" w14:textId="7F76DEA9" w:rsidR="00930253" w:rsidRPr="00930253" w:rsidRDefault="00611ADD" w:rsidP="006F5EA5">
      <w:pPr>
        <w:ind w:left="567"/>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PJIInvML</m:t>
            </m:r>
          </m:e>
          <m:sub>
            <m:r>
              <w:rPr>
                <w:rFonts w:ascii="Cambria Math" w:hAnsi="Cambria Math"/>
                <w:sz w:val="20"/>
                <w:szCs w:val="20"/>
              </w:rPr>
              <m:t>i</m:t>
            </m:r>
          </m:sub>
          <m:sup>
            <m:r>
              <w:rPr>
                <w:rFonts w:ascii="Cambria Math" w:hAnsi="Cambria Math"/>
                <w:sz w:val="20"/>
                <w:szCs w:val="20"/>
              </w:rPr>
              <m:t>AC</m:t>
            </m:r>
          </m:sup>
        </m:sSubSup>
      </m:oMath>
      <w:r w:rsidR="00930253" w:rsidRPr="00930253">
        <w:rPr>
          <w:rFonts w:ascii="Verdana" w:hAnsi="Verdana"/>
          <w:sz w:val="20"/>
          <w:szCs w:val="20"/>
        </w:rPr>
        <w:t>:</w:t>
      </w:r>
      <w:r w:rsidR="00227D1C">
        <w:rPr>
          <w:rFonts w:ascii="Verdana" w:hAnsi="Verdana"/>
          <w:sz w:val="20"/>
          <w:szCs w:val="20"/>
        </w:rPr>
        <w:t xml:space="preserve"> es el v</w:t>
      </w:r>
      <w:r w:rsidR="00930253" w:rsidRPr="00930253">
        <w:rPr>
          <w:rFonts w:ascii="Verdana" w:hAnsi="Verdana"/>
          <w:sz w:val="20"/>
          <w:szCs w:val="20"/>
        </w:rPr>
        <w:t xml:space="preserve">alor razonable de la </w:t>
      </w:r>
      <w:r w:rsidR="00227D1C">
        <w:rPr>
          <w:rFonts w:ascii="Verdana" w:hAnsi="Verdana"/>
          <w:sz w:val="20"/>
          <w:szCs w:val="20"/>
        </w:rPr>
        <w:t>i</w:t>
      </w:r>
      <w:r w:rsidR="00930253" w:rsidRPr="00930253">
        <w:rPr>
          <w:rFonts w:ascii="Verdana" w:hAnsi="Verdana"/>
          <w:sz w:val="20"/>
          <w:szCs w:val="20"/>
        </w:rPr>
        <w:t xml:space="preserve">nversión de </w:t>
      </w:r>
      <w:r w:rsidR="00227D1C">
        <w:rPr>
          <w:rFonts w:ascii="Verdana" w:hAnsi="Verdana"/>
          <w:sz w:val="20"/>
          <w:szCs w:val="20"/>
        </w:rPr>
        <w:t>a</w:t>
      </w:r>
      <w:r w:rsidR="00930253" w:rsidRPr="00930253">
        <w:rPr>
          <w:rFonts w:ascii="Verdana" w:hAnsi="Verdana"/>
          <w:sz w:val="20"/>
          <w:szCs w:val="20"/>
        </w:rPr>
        <w:t xml:space="preserve">lta </w:t>
      </w:r>
      <w:r w:rsidR="00227D1C">
        <w:rPr>
          <w:rFonts w:ascii="Verdana" w:hAnsi="Verdana"/>
          <w:sz w:val="20"/>
          <w:szCs w:val="20"/>
        </w:rPr>
        <w:t>c</w:t>
      </w:r>
      <w:r w:rsidR="00930253" w:rsidRPr="00930253">
        <w:rPr>
          <w:rFonts w:ascii="Verdana" w:hAnsi="Verdana"/>
          <w:sz w:val="20"/>
          <w:szCs w:val="20"/>
        </w:rPr>
        <w:t>alidad (</w:t>
      </w:r>
      <w:r w:rsidR="00930253" w:rsidRPr="00930253">
        <w:rPr>
          <w:rFonts w:ascii="Verdana" w:hAnsi="Verdana"/>
          <w:i/>
          <w:sz w:val="20"/>
          <w:szCs w:val="20"/>
        </w:rPr>
        <w:t>i</w:t>
      </w:r>
      <w:r w:rsidR="00930253" w:rsidRPr="00930253">
        <w:rPr>
          <w:rFonts w:ascii="Verdana" w:hAnsi="Verdana"/>
          <w:sz w:val="20"/>
          <w:szCs w:val="20"/>
        </w:rPr>
        <w:t xml:space="preserve">) en </w:t>
      </w:r>
      <w:r w:rsidR="00227D1C">
        <w:rPr>
          <w:rFonts w:ascii="Verdana" w:hAnsi="Verdana"/>
          <w:sz w:val="20"/>
          <w:szCs w:val="20"/>
        </w:rPr>
        <w:t>m</w:t>
      </w:r>
      <w:r w:rsidR="00930253" w:rsidRPr="00930253">
        <w:rPr>
          <w:rFonts w:ascii="Verdana" w:hAnsi="Verdana"/>
          <w:sz w:val="20"/>
          <w:szCs w:val="20"/>
        </w:rPr>
        <w:t xml:space="preserve">oneda </w:t>
      </w:r>
      <w:r w:rsidR="00227D1C">
        <w:rPr>
          <w:rFonts w:ascii="Verdana" w:hAnsi="Verdana"/>
          <w:sz w:val="20"/>
          <w:szCs w:val="20"/>
        </w:rPr>
        <w:t>l</w:t>
      </w:r>
      <w:r w:rsidR="00930253" w:rsidRPr="00930253">
        <w:rPr>
          <w:rFonts w:ascii="Verdana" w:hAnsi="Verdana"/>
          <w:sz w:val="20"/>
          <w:szCs w:val="20"/>
        </w:rPr>
        <w:t>egal</w:t>
      </w:r>
      <w:r w:rsidR="00227D1C">
        <w:rPr>
          <w:rFonts w:ascii="Verdana" w:hAnsi="Verdana"/>
          <w:sz w:val="20"/>
          <w:szCs w:val="20"/>
        </w:rPr>
        <w:t>.</w:t>
      </w:r>
    </w:p>
    <w:p w14:paraId="604B2373" w14:textId="7DE4A2EF" w:rsidR="00930253" w:rsidRPr="00930253" w:rsidRDefault="00611ADD" w:rsidP="006F5EA5">
      <w:pPr>
        <w:ind w:left="567"/>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PJIInvME</m:t>
            </m:r>
          </m:e>
          <m:sub>
            <m:r>
              <w:rPr>
                <w:rFonts w:ascii="Cambria Math" w:hAnsi="Cambria Math"/>
                <w:sz w:val="20"/>
                <w:szCs w:val="20"/>
              </w:rPr>
              <m:t>i</m:t>
            </m:r>
          </m:sub>
          <m:sup>
            <m:r>
              <w:rPr>
                <w:rFonts w:ascii="Cambria Math" w:hAnsi="Cambria Math"/>
                <w:sz w:val="20"/>
                <w:szCs w:val="20"/>
              </w:rPr>
              <m:t>AC</m:t>
            </m:r>
          </m:sup>
        </m:sSubSup>
      </m:oMath>
      <w:r w:rsidR="00930253" w:rsidRPr="00930253">
        <w:rPr>
          <w:rFonts w:ascii="Verdana" w:hAnsi="Verdana"/>
          <w:sz w:val="20"/>
          <w:szCs w:val="20"/>
        </w:rPr>
        <w:t>:</w:t>
      </w:r>
      <w:r w:rsidR="007624BA">
        <w:rPr>
          <w:rFonts w:ascii="Verdana" w:hAnsi="Verdana"/>
          <w:sz w:val="20"/>
          <w:szCs w:val="20"/>
        </w:rPr>
        <w:t xml:space="preserve"> </w:t>
      </w:r>
      <w:r w:rsidR="00227D1C">
        <w:rPr>
          <w:rFonts w:ascii="Verdana" w:hAnsi="Verdana"/>
          <w:sz w:val="20"/>
          <w:szCs w:val="20"/>
        </w:rPr>
        <w:t>es el v</w:t>
      </w:r>
      <w:r w:rsidR="00930253" w:rsidRPr="00930253">
        <w:rPr>
          <w:rFonts w:ascii="Verdana" w:hAnsi="Verdana"/>
          <w:sz w:val="20"/>
          <w:szCs w:val="20"/>
        </w:rPr>
        <w:t xml:space="preserve">alor razonable de la </w:t>
      </w:r>
      <w:r w:rsidR="00227D1C">
        <w:rPr>
          <w:rFonts w:ascii="Verdana" w:hAnsi="Verdana"/>
          <w:sz w:val="20"/>
          <w:szCs w:val="20"/>
        </w:rPr>
        <w:t>i</w:t>
      </w:r>
      <w:r w:rsidR="00930253" w:rsidRPr="00930253">
        <w:rPr>
          <w:rFonts w:ascii="Verdana" w:hAnsi="Verdana"/>
          <w:sz w:val="20"/>
          <w:szCs w:val="20"/>
        </w:rPr>
        <w:t xml:space="preserve">nversión de </w:t>
      </w:r>
      <w:r w:rsidR="00227D1C">
        <w:rPr>
          <w:rFonts w:ascii="Verdana" w:hAnsi="Verdana"/>
          <w:sz w:val="20"/>
          <w:szCs w:val="20"/>
        </w:rPr>
        <w:t>a</w:t>
      </w:r>
      <w:r w:rsidR="00930253" w:rsidRPr="00930253">
        <w:rPr>
          <w:rFonts w:ascii="Verdana" w:hAnsi="Verdana"/>
          <w:sz w:val="20"/>
          <w:szCs w:val="20"/>
        </w:rPr>
        <w:t xml:space="preserve">lta </w:t>
      </w:r>
      <w:r w:rsidR="00227D1C">
        <w:rPr>
          <w:rFonts w:ascii="Verdana" w:hAnsi="Verdana"/>
          <w:sz w:val="20"/>
          <w:szCs w:val="20"/>
        </w:rPr>
        <w:t>c</w:t>
      </w:r>
      <w:r w:rsidR="00930253" w:rsidRPr="00930253">
        <w:rPr>
          <w:rFonts w:ascii="Verdana" w:hAnsi="Verdana"/>
          <w:sz w:val="20"/>
          <w:szCs w:val="20"/>
        </w:rPr>
        <w:t>alidad (</w:t>
      </w:r>
      <w:r w:rsidR="00930253" w:rsidRPr="00930253">
        <w:rPr>
          <w:rFonts w:ascii="Verdana" w:hAnsi="Verdana"/>
          <w:i/>
          <w:sz w:val="20"/>
          <w:szCs w:val="20"/>
        </w:rPr>
        <w:t>i</w:t>
      </w:r>
      <w:r w:rsidR="00930253" w:rsidRPr="00930253">
        <w:rPr>
          <w:rFonts w:ascii="Verdana" w:hAnsi="Verdana"/>
          <w:sz w:val="20"/>
          <w:szCs w:val="20"/>
        </w:rPr>
        <w:t xml:space="preserve">) en </w:t>
      </w:r>
      <w:r w:rsidR="00227D1C">
        <w:rPr>
          <w:rFonts w:ascii="Verdana" w:hAnsi="Verdana"/>
          <w:sz w:val="20"/>
          <w:szCs w:val="20"/>
        </w:rPr>
        <w:t>m</w:t>
      </w:r>
      <w:r w:rsidR="00930253" w:rsidRPr="00930253">
        <w:rPr>
          <w:rFonts w:ascii="Verdana" w:hAnsi="Verdana"/>
          <w:sz w:val="20"/>
          <w:szCs w:val="20"/>
        </w:rPr>
        <w:t xml:space="preserve">oneda </w:t>
      </w:r>
      <w:r w:rsidR="00227D1C">
        <w:rPr>
          <w:rFonts w:ascii="Verdana" w:hAnsi="Verdana"/>
          <w:sz w:val="20"/>
          <w:szCs w:val="20"/>
        </w:rPr>
        <w:t>e</w:t>
      </w:r>
      <w:r w:rsidR="00930253" w:rsidRPr="00930253">
        <w:rPr>
          <w:rFonts w:ascii="Verdana" w:hAnsi="Verdana"/>
          <w:sz w:val="20"/>
          <w:szCs w:val="20"/>
        </w:rPr>
        <w:t>xtranjera</w:t>
      </w:r>
      <w:r w:rsidR="007624BA">
        <w:rPr>
          <w:rFonts w:ascii="Verdana" w:hAnsi="Verdana"/>
          <w:sz w:val="20"/>
          <w:szCs w:val="20"/>
        </w:rPr>
        <w:t>.</w:t>
      </w:r>
    </w:p>
    <w:p w14:paraId="3D9BCE44" w14:textId="648D7F7C" w:rsidR="00930253" w:rsidRPr="00930253" w:rsidRDefault="00611ADD" w:rsidP="006F5EA5">
      <w:pPr>
        <w:ind w:left="567"/>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PJIInvML</m:t>
            </m:r>
          </m:e>
          <m:sub>
            <m:r>
              <w:rPr>
                <w:rFonts w:ascii="Cambria Math" w:hAnsi="Cambria Math"/>
                <w:sz w:val="20"/>
                <w:szCs w:val="20"/>
              </w:rPr>
              <m:t>i</m:t>
            </m:r>
          </m:sub>
          <m:sup>
            <m:r>
              <w:rPr>
                <w:rFonts w:ascii="Cambria Math" w:hAnsi="Cambria Math"/>
                <w:sz w:val="20"/>
                <w:szCs w:val="20"/>
              </w:rPr>
              <m:t>OA</m:t>
            </m:r>
          </m:sup>
        </m:sSubSup>
      </m:oMath>
      <w:r w:rsidR="007624BA">
        <w:rPr>
          <w:rFonts w:ascii="Verdana" w:hAnsi="Verdana"/>
          <w:sz w:val="20"/>
          <w:szCs w:val="20"/>
        </w:rPr>
        <w:t xml:space="preserve">: es el </w:t>
      </w:r>
      <w:r w:rsidR="00DD4278">
        <w:rPr>
          <w:rFonts w:ascii="Verdana" w:hAnsi="Verdana"/>
          <w:sz w:val="20"/>
          <w:szCs w:val="20"/>
        </w:rPr>
        <w:t>v</w:t>
      </w:r>
      <w:r w:rsidR="00930253" w:rsidRPr="00930253">
        <w:rPr>
          <w:rFonts w:ascii="Verdana" w:hAnsi="Verdana"/>
          <w:sz w:val="20"/>
          <w:szCs w:val="20"/>
        </w:rPr>
        <w:t xml:space="preserve">alor razonable de la </w:t>
      </w:r>
      <w:r w:rsidR="00DD4278">
        <w:rPr>
          <w:rFonts w:ascii="Verdana" w:hAnsi="Verdana"/>
          <w:sz w:val="20"/>
          <w:szCs w:val="20"/>
        </w:rPr>
        <w:t>i</w:t>
      </w:r>
      <w:r w:rsidR="00930253" w:rsidRPr="00930253">
        <w:rPr>
          <w:rFonts w:ascii="Verdana" w:hAnsi="Verdana"/>
          <w:sz w:val="20"/>
          <w:szCs w:val="20"/>
        </w:rPr>
        <w:t xml:space="preserve">nversión de </w:t>
      </w:r>
      <w:r w:rsidR="00DD4278">
        <w:rPr>
          <w:rFonts w:ascii="Verdana" w:hAnsi="Verdana"/>
          <w:sz w:val="20"/>
          <w:szCs w:val="20"/>
        </w:rPr>
        <w:t>o</w:t>
      </w:r>
      <w:r w:rsidR="00930253" w:rsidRPr="00930253">
        <w:rPr>
          <w:rFonts w:ascii="Verdana" w:hAnsi="Verdana"/>
          <w:sz w:val="20"/>
          <w:szCs w:val="20"/>
        </w:rPr>
        <w:t xml:space="preserve">tros </w:t>
      </w:r>
      <w:r w:rsidR="00DD4278">
        <w:rPr>
          <w:rFonts w:ascii="Verdana" w:hAnsi="Verdana"/>
          <w:sz w:val="20"/>
          <w:szCs w:val="20"/>
        </w:rPr>
        <w:t>a</w:t>
      </w:r>
      <w:r w:rsidR="00930253" w:rsidRPr="00930253">
        <w:rPr>
          <w:rFonts w:ascii="Verdana" w:hAnsi="Verdana"/>
          <w:sz w:val="20"/>
          <w:szCs w:val="20"/>
        </w:rPr>
        <w:t>ctivos (</w:t>
      </w:r>
      <w:r w:rsidR="00930253" w:rsidRPr="00930253">
        <w:rPr>
          <w:rFonts w:ascii="Verdana" w:hAnsi="Verdana"/>
          <w:i/>
          <w:sz w:val="20"/>
          <w:szCs w:val="20"/>
        </w:rPr>
        <w:t>i</w:t>
      </w:r>
      <w:r w:rsidR="00930253" w:rsidRPr="00930253">
        <w:rPr>
          <w:rFonts w:ascii="Verdana" w:hAnsi="Verdana"/>
          <w:sz w:val="20"/>
          <w:szCs w:val="20"/>
        </w:rPr>
        <w:t xml:space="preserve">) en </w:t>
      </w:r>
      <w:r w:rsidR="00DD4278">
        <w:rPr>
          <w:rFonts w:ascii="Verdana" w:hAnsi="Verdana"/>
          <w:sz w:val="20"/>
          <w:szCs w:val="20"/>
        </w:rPr>
        <w:t>m</w:t>
      </w:r>
      <w:r w:rsidR="00930253" w:rsidRPr="00930253">
        <w:rPr>
          <w:rFonts w:ascii="Verdana" w:hAnsi="Verdana"/>
          <w:sz w:val="20"/>
          <w:szCs w:val="20"/>
        </w:rPr>
        <w:t xml:space="preserve">oneda </w:t>
      </w:r>
      <w:r w:rsidR="00DD4278">
        <w:rPr>
          <w:rFonts w:ascii="Verdana" w:hAnsi="Verdana"/>
          <w:sz w:val="20"/>
          <w:szCs w:val="20"/>
        </w:rPr>
        <w:t>l</w:t>
      </w:r>
      <w:r w:rsidR="00930253" w:rsidRPr="00930253">
        <w:rPr>
          <w:rFonts w:ascii="Verdana" w:hAnsi="Verdana"/>
          <w:sz w:val="20"/>
          <w:szCs w:val="20"/>
        </w:rPr>
        <w:t>egal</w:t>
      </w:r>
    </w:p>
    <w:p w14:paraId="1D44D83A" w14:textId="2C0FA5CD" w:rsidR="00930253" w:rsidRPr="00930253" w:rsidRDefault="00611ADD" w:rsidP="006F5EA5">
      <w:pPr>
        <w:ind w:left="567"/>
        <w:jc w:val="both"/>
        <w:rPr>
          <w:rFonts w:ascii="Verdana" w:hAnsi="Verdana"/>
          <w:sz w:val="20"/>
          <w:szCs w:val="20"/>
        </w:rPr>
      </w:pPr>
      <m:oMath>
        <m:sSubSup>
          <m:sSubSupPr>
            <m:ctrlPr>
              <w:rPr>
                <w:rFonts w:ascii="Cambria Math" w:hAnsi="Cambria Math"/>
                <w:i/>
                <w:sz w:val="20"/>
                <w:szCs w:val="20"/>
              </w:rPr>
            </m:ctrlPr>
          </m:sSubSupPr>
          <m:e>
            <m:r>
              <w:rPr>
                <w:rFonts w:ascii="Cambria Math" w:hAnsi="Cambria Math"/>
                <w:sz w:val="20"/>
                <w:szCs w:val="20"/>
              </w:rPr>
              <m:t>PJIInvME</m:t>
            </m:r>
          </m:e>
          <m:sub>
            <m:r>
              <w:rPr>
                <w:rFonts w:ascii="Cambria Math" w:hAnsi="Cambria Math"/>
                <w:sz w:val="20"/>
                <w:szCs w:val="20"/>
              </w:rPr>
              <m:t>i</m:t>
            </m:r>
          </m:sub>
          <m:sup>
            <m:r>
              <w:rPr>
                <w:rFonts w:ascii="Cambria Math" w:hAnsi="Cambria Math"/>
                <w:sz w:val="20"/>
                <w:szCs w:val="20"/>
              </w:rPr>
              <m:t>OA</m:t>
            </m:r>
          </m:sup>
        </m:sSubSup>
      </m:oMath>
      <w:r w:rsidR="00930253" w:rsidRPr="00930253">
        <w:rPr>
          <w:rFonts w:ascii="Verdana" w:hAnsi="Verdana"/>
          <w:sz w:val="20"/>
          <w:szCs w:val="20"/>
        </w:rPr>
        <w:t>:</w:t>
      </w:r>
      <w:r w:rsidR="00DD4278">
        <w:rPr>
          <w:rFonts w:ascii="Verdana" w:hAnsi="Verdana"/>
          <w:sz w:val="20"/>
          <w:szCs w:val="20"/>
        </w:rPr>
        <w:t xml:space="preserve"> es el v</w:t>
      </w:r>
      <w:r w:rsidR="00930253" w:rsidRPr="00930253">
        <w:rPr>
          <w:rFonts w:ascii="Verdana" w:hAnsi="Verdana"/>
          <w:sz w:val="20"/>
          <w:szCs w:val="20"/>
        </w:rPr>
        <w:t xml:space="preserve">alor razonable de la </w:t>
      </w:r>
      <w:r w:rsidR="00DD4278">
        <w:rPr>
          <w:rFonts w:ascii="Verdana" w:hAnsi="Verdana"/>
          <w:sz w:val="20"/>
          <w:szCs w:val="20"/>
        </w:rPr>
        <w:t>i</w:t>
      </w:r>
      <w:r w:rsidR="00930253" w:rsidRPr="00930253">
        <w:rPr>
          <w:rFonts w:ascii="Verdana" w:hAnsi="Verdana"/>
          <w:sz w:val="20"/>
          <w:szCs w:val="20"/>
        </w:rPr>
        <w:t xml:space="preserve">nversión de </w:t>
      </w:r>
      <w:r w:rsidR="00DD4278">
        <w:rPr>
          <w:rFonts w:ascii="Verdana" w:hAnsi="Verdana"/>
          <w:sz w:val="20"/>
          <w:szCs w:val="20"/>
        </w:rPr>
        <w:t>o</w:t>
      </w:r>
      <w:r w:rsidR="00930253" w:rsidRPr="00930253">
        <w:rPr>
          <w:rFonts w:ascii="Verdana" w:hAnsi="Verdana"/>
          <w:sz w:val="20"/>
          <w:szCs w:val="20"/>
        </w:rPr>
        <w:t xml:space="preserve">tros </w:t>
      </w:r>
      <w:r w:rsidR="00DD4278">
        <w:rPr>
          <w:rFonts w:ascii="Verdana" w:hAnsi="Verdana"/>
          <w:sz w:val="20"/>
          <w:szCs w:val="20"/>
        </w:rPr>
        <w:t>a</w:t>
      </w:r>
      <w:r w:rsidR="00930253" w:rsidRPr="00930253">
        <w:rPr>
          <w:rFonts w:ascii="Verdana" w:hAnsi="Verdana"/>
          <w:sz w:val="20"/>
          <w:szCs w:val="20"/>
        </w:rPr>
        <w:t>ctivos (</w:t>
      </w:r>
      <w:r w:rsidR="00930253" w:rsidRPr="00930253">
        <w:rPr>
          <w:rFonts w:ascii="Verdana" w:hAnsi="Verdana"/>
          <w:i/>
          <w:sz w:val="20"/>
          <w:szCs w:val="20"/>
        </w:rPr>
        <w:t>i</w:t>
      </w:r>
      <w:r w:rsidR="00930253" w:rsidRPr="00930253">
        <w:rPr>
          <w:rFonts w:ascii="Verdana" w:hAnsi="Verdana"/>
          <w:sz w:val="20"/>
          <w:szCs w:val="20"/>
        </w:rPr>
        <w:t xml:space="preserve">) en </w:t>
      </w:r>
      <w:r w:rsidR="00DD4278">
        <w:rPr>
          <w:rFonts w:ascii="Verdana" w:hAnsi="Verdana"/>
          <w:sz w:val="20"/>
          <w:szCs w:val="20"/>
        </w:rPr>
        <w:t>m</w:t>
      </w:r>
      <w:r w:rsidR="00930253" w:rsidRPr="00930253">
        <w:rPr>
          <w:rFonts w:ascii="Verdana" w:hAnsi="Verdana"/>
          <w:sz w:val="20"/>
          <w:szCs w:val="20"/>
        </w:rPr>
        <w:t xml:space="preserve">oneda </w:t>
      </w:r>
      <w:r w:rsidR="00DD4278">
        <w:rPr>
          <w:rFonts w:ascii="Verdana" w:hAnsi="Verdana"/>
          <w:sz w:val="20"/>
          <w:szCs w:val="20"/>
        </w:rPr>
        <w:t>e</w:t>
      </w:r>
      <w:r w:rsidR="00930253" w:rsidRPr="00930253">
        <w:rPr>
          <w:rFonts w:ascii="Verdana" w:hAnsi="Verdana"/>
          <w:sz w:val="20"/>
          <w:szCs w:val="20"/>
        </w:rPr>
        <w:t>xtranjera</w:t>
      </w:r>
    </w:p>
    <w:p w14:paraId="7527F485" w14:textId="20F9D8F2" w:rsidR="00930253" w:rsidRPr="00930253" w:rsidRDefault="00611ADD" w:rsidP="006F5EA5">
      <w:pPr>
        <w:ind w:left="567"/>
        <w:jc w:val="both"/>
        <w:rPr>
          <w:rFonts w:ascii="Verdana" w:hAnsi="Verdana"/>
          <w:sz w:val="20"/>
          <w:szCs w:val="20"/>
        </w:rPr>
      </w:pPr>
      <m:oMath>
        <m:sSub>
          <m:sSubPr>
            <m:ctrlPr>
              <w:rPr>
                <w:rFonts w:ascii="Cambria Math" w:hAnsi="Cambria Math"/>
                <w:i/>
                <w:sz w:val="20"/>
                <w:szCs w:val="20"/>
              </w:rPr>
            </m:ctrlPr>
          </m:sSubPr>
          <m:e>
            <m:r>
              <w:rPr>
                <w:rFonts w:ascii="Cambria Math" w:hAnsi="Cambria Math"/>
                <w:sz w:val="20"/>
                <w:szCs w:val="20"/>
              </w:rPr>
              <m:t>HLM</m:t>
            </m:r>
          </m:e>
          <m:sub>
            <m:r>
              <w:rPr>
                <w:rFonts w:ascii="Cambria Math" w:hAnsi="Cambria Math"/>
                <w:sz w:val="20"/>
                <w:szCs w:val="20"/>
              </w:rPr>
              <m:t>i</m:t>
            </m:r>
          </m:sub>
        </m:sSub>
      </m:oMath>
      <w:r w:rsidR="00930253" w:rsidRPr="00930253">
        <w:rPr>
          <w:rFonts w:ascii="Verdana" w:hAnsi="Verdana"/>
          <w:sz w:val="20"/>
          <w:szCs w:val="20"/>
        </w:rPr>
        <w:t>:</w:t>
      </w:r>
      <w:r w:rsidR="00DD4278">
        <w:rPr>
          <w:rFonts w:ascii="Verdana" w:hAnsi="Verdana"/>
          <w:sz w:val="20"/>
          <w:szCs w:val="20"/>
        </w:rPr>
        <w:t xml:space="preserve"> es el </w:t>
      </w:r>
      <w:r w:rsidR="00DD4278" w:rsidRPr="00DD4278">
        <w:rPr>
          <w:rFonts w:ascii="Verdana" w:hAnsi="Verdana"/>
          <w:i/>
          <w:iCs/>
          <w:sz w:val="20"/>
          <w:szCs w:val="20"/>
        </w:rPr>
        <w:t>h</w:t>
      </w:r>
      <w:r w:rsidR="00930253" w:rsidRPr="00DD4278">
        <w:rPr>
          <w:rFonts w:ascii="Verdana" w:hAnsi="Verdana"/>
          <w:i/>
          <w:iCs/>
          <w:sz w:val="20"/>
          <w:szCs w:val="20"/>
        </w:rPr>
        <w:t>aircut</w:t>
      </w:r>
      <w:r w:rsidR="00930253" w:rsidRPr="00930253">
        <w:rPr>
          <w:rFonts w:ascii="Verdana" w:hAnsi="Verdana"/>
          <w:sz w:val="20"/>
          <w:szCs w:val="20"/>
        </w:rPr>
        <w:t xml:space="preserve"> a 33 días por </w:t>
      </w:r>
      <w:r w:rsidR="00DD4278">
        <w:rPr>
          <w:rFonts w:ascii="Verdana" w:hAnsi="Verdana"/>
          <w:sz w:val="20"/>
          <w:szCs w:val="20"/>
        </w:rPr>
        <w:t>l</w:t>
      </w:r>
      <w:r w:rsidR="00930253" w:rsidRPr="00930253">
        <w:rPr>
          <w:rFonts w:ascii="Verdana" w:hAnsi="Verdana"/>
          <w:sz w:val="20"/>
          <w:szCs w:val="20"/>
        </w:rPr>
        <w:t xml:space="preserve">iquidez de </w:t>
      </w:r>
      <w:r w:rsidR="00DD4278">
        <w:rPr>
          <w:rFonts w:ascii="Verdana" w:hAnsi="Verdana"/>
          <w:sz w:val="20"/>
          <w:szCs w:val="20"/>
        </w:rPr>
        <w:t>m</w:t>
      </w:r>
      <w:r w:rsidR="00930253" w:rsidRPr="00930253">
        <w:rPr>
          <w:rFonts w:ascii="Verdana" w:hAnsi="Verdana"/>
          <w:sz w:val="20"/>
          <w:szCs w:val="20"/>
        </w:rPr>
        <w:t>ercado</w:t>
      </w:r>
    </w:p>
    <w:p w14:paraId="3B0FEAF6" w14:textId="29A41340" w:rsidR="00930253" w:rsidRDefault="00930253" w:rsidP="00B11E7D">
      <w:pPr>
        <w:pStyle w:val="Prrafodelista"/>
        <w:numPr>
          <w:ilvl w:val="0"/>
          <w:numId w:val="48"/>
        </w:numPr>
        <w:ind w:left="567" w:hanging="567"/>
        <w:jc w:val="both"/>
        <w:rPr>
          <w:rFonts w:ascii="Verdana" w:hAnsi="Verdana"/>
          <w:sz w:val="20"/>
          <w:szCs w:val="20"/>
        </w:rPr>
      </w:pPr>
      <w:r w:rsidRPr="00DD4278">
        <w:rPr>
          <w:rFonts w:ascii="Verdana" w:hAnsi="Verdana"/>
          <w:i/>
          <w:iCs/>
          <w:sz w:val="20"/>
          <w:szCs w:val="20"/>
        </w:rPr>
        <w:t>RLN</w:t>
      </w:r>
      <w:r w:rsidRPr="00B11E7D">
        <w:rPr>
          <w:rFonts w:ascii="Verdana" w:hAnsi="Verdana"/>
          <w:sz w:val="20"/>
          <w:szCs w:val="20"/>
        </w:rPr>
        <w:t>:</w:t>
      </w:r>
      <w:r w:rsidR="00B11E7D">
        <w:rPr>
          <w:rFonts w:ascii="Verdana" w:hAnsi="Verdana"/>
          <w:sz w:val="20"/>
          <w:szCs w:val="20"/>
        </w:rPr>
        <w:t xml:space="preserve"> </w:t>
      </w:r>
      <w:r w:rsidR="00D26C0F">
        <w:rPr>
          <w:rFonts w:ascii="Verdana" w:hAnsi="Verdana"/>
          <w:sz w:val="20"/>
          <w:szCs w:val="20"/>
        </w:rPr>
        <w:t>es el r</w:t>
      </w:r>
      <w:r w:rsidRPr="00B11E7D">
        <w:rPr>
          <w:rFonts w:ascii="Verdana" w:hAnsi="Verdana"/>
          <w:sz w:val="20"/>
          <w:szCs w:val="20"/>
        </w:rPr>
        <w:t xml:space="preserve">equerimiento de </w:t>
      </w:r>
      <w:r w:rsidR="00D26C0F">
        <w:rPr>
          <w:rFonts w:ascii="Verdana" w:hAnsi="Verdana"/>
          <w:sz w:val="20"/>
          <w:szCs w:val="20"/>
        </w:rPr>
        <w:t>l</w:t>
      </w:r>
      <w:r w:rsidRPr="00B11E7D">
        <w:rPr>
          <w:rFonts w:ascii="Verdana" w:hAnsi="Verdana"/>
          <w:sz w:val="20"/>
          <w:szCs w:val="20"/>
        </w:rPr>
        <w:t xml:space="preserve">iquidez </w:t>
      </w:r>
      <w:r w:rsidR="00D26C0F">
        <w:rPr>
          <w:rFonts w:ascii="Verdana" w:hAnsi="Verdana"/>
          <w:sz w:val="20"/>
          <w:szCs w:val="20"/>
        </w:rPr>
        <w:t>n</w:t>
      </w:r>
      <w:r w:rsidRPr="00B11E7D">
        <w:rPr>
          <w:rFonts w:ascii="Verdana" w:hAnsi="Verdana"/>
          <w:sz w:val="20"/>
          <w:szCs w:val="20"/>
        </w:rPr>
        <w:t>eto estimado para la primera banda o la sumatoria de las 3 primeras bandas de tiempo, según corresponda.</w:t>
      </w:r>
    </w:p>
    <w:p w14:paraId="12CE3515" w14:textId="53AAFB60" w:rsidR="00930253" w:rsidRPr="00930253" w:rsidRDefault="00ED0B76" w:rsidP="00AC0EE1">
      <w:pPr>
        <w:jc w:val="both"/>
        <w:rPr>
          <w:rFonts w:ascii="Verdana" w:hAnsi="Verdana"/>
          <w:sz w:val="20"/>
          <w:szCs w:val="20"/>
        </w:rPr>
      </w:pPr>
      <m:oMathPara>
        <m:oMath>
          <m:r>
            <w:rPr>
              <w:rFonts w:ascii="Cambria Math" w:hAnsi="Cambria Math"/>
              <w:sz w:val="20"/>
              <w:szCs w:val="20"/>
            </w:rPr>
            <m:t>RLN=FEVC+FNVNC-min</m:t>
          </m:r>
          <m:r>
            <m:rPr>
              <m:sty m:val="p"/>
            </m:rPr>
            <w:rPr>
              <w:rFonts w:ascii="Cambria Math" w:hAnsi="Cambria Math"/>
              <w:sz w:val="20"/>
              <w:szCs w:val="20"/>
            </w:rPr>
            <m:t>⁡</m:t>
          </m:r>
          <m:r>
            <w:rPr>
              <w:rFonts w:ascii="Cambria Math" w:hAnsi="Cambria Math"/>
              <w:sz w:val="20"/>
              <w:szCs w:val="20"/>
            </w:rPr>
            <m:t>(75%*</m:t>
          </m:r>
          <m:d>
            <m:dPr>
              <m:ctrlPr>
                <w:rPr>
                  <w:rFonts w:ascii="Cambria Math" w:hAnsi="Cambria Math"/>
                  <w:i/>
                  <w:sz w:val="20"/>
                  <w:szCs w:val="20"/>
                </w:rPr>
              </m:ctrlPr>
            </m:dPr>
            <m:e>
              <m:r>
                <w:rPr>
                  <w:rFonts w:ascii="Cambria Math" w:hAnsi="Cambria Math"/>
                  <w:sz w:val="20"/>
                  <w:szCs w:val="20"/>
                </w:rPr>
                <m:t>FEVC+FNVNC</m:t>
              </m:r>
            </m:e>
          </m:d>
          <m:r>
            <w:rPr>
              <w:rFonts w:ascii="Cambria Math" w:hAnsi="Cambria Math"/>
              <w:sz w:val="20"/>
              <w:szCs w:val="20"/>
            </w:rPr>
            <m:t>;  FIVC)</m:t>
          </m:r>
        </m:oMath>
      </m:oMathPara>
    </w:p>
    <w:p w14:paraId="59A92618" w14:textId="77777777" w:rsidR="00930253" w:rsidRPr="00930253" w:rsidRDefault="00930253" w:rsidP="00BB6AA3">
      <w:pPr>
        <w:ind w:left="567"/>
        <w:jc w:val="both"/>
        <w:rPr>
          <w:rFonts w:ascii="Verdana" w:hAnsi="Verdana"/>
          <w:sz w:val="20"/>
          <w:szCs w:val="20"/>
        </w:rPr>
      </w:pPr>
      <w:r w:rsidRPr="00930253">
        <w:rPr>
          <w:rFonts w:ascii="Verdana" w:hAnsi="Verdana"/>
          <w:sz w:val="20"/>
          <w:szCs w:val="20"/>
        </w:rPr>
        <w:t>Donde:</w:t>
      </w:r>
    </w:p>
    <w:p w14:paraId="056B1704" w14:textId="2471C0A3" w:rsidR="00930253" w:rsidRPr="00930253" w:rsidRDefault="00AC0EE1" w:rsidP="00BB6AA3">
      <w:pPr>
        <w:ind w:left="567"/>
        <w:jc w:val="both"/>
        <w:rPr>
          <w:rFonts w:ascii="Verdana" w:hAnsi="Verdana"/>
          <w:sz w:val="20"/>
          <w:szCs w:val="20"/>
        </w:rPr>
      </w:pPr>
      <m:oMath>
        <m:r>
          <w:rPr>
            <w:rFonts w:ascii="Cambria Math" w:hAnsi="Cambria Math"/>
            <w:sz w:val="20"/>
            <w:szCs w:val="20"/>
          </w:rPr>
          <m:t>FEVC</m:t>
        </m:r>
      </m:oMath>
      <w:r w:rsidR="00930253" w:rsidRPr="00930253">
        <w:rPr>
          <w:rFonts w:ascii="Verdana" w:hAnsi="Verdana"/>
          <w:sz w:val="20"/>
          <w:szCs w:val="20"/>
        </w:rPr>
        <w:t>:</w:t>
      </w:r>
      <w:r w:rsidR="00BB6AA3">
        <w:rPr>
          <w:rFonts w:ascii="Verdana" w:hAnsi="Verdana"/>
          <w:sz w:val="20"/>
          <w:szCs w:val="20"/>
        </w:rPr>
        <w:t xml:space="preserve"> </w:t>
      </w:r>
      <w:r w:rsidR="00D26C0F">
        <w:rPr>
          <w:rFonts w:ascii="Verdana" w:hAnsi="Verdana"/>
          <w:sz w:val="20"/>
          <w:szCs w:val="20"/>
        </w:rPr>
        <w:t>es el f</w:t>
      </w:r>
      <w:r w:rsidR="00930253" w:rsidRPr="00930253">
        <w:rPr>
          <w:rFonts w:ascii="Verdana" w:hAnsi="Verdana"/>
          <w:sz w:val="20"/>
          <w:szCs w:val="20"/>
        </w:rPr>
        <w:t xml:space="preserve">lujo de </w:t>
      </w:r>
      <w:r w:rsidR="00D26C0F">
        <w:rPr>
          <w:rFonts w:ascii="Verdana" w:hAnsi="Verdana"/>
          <w:sz w:val="20"/>
          <w:szCs w:val="20"/>
        </w:rPr>
        <w:t>e</w:t>
      </w:r>
      <w:r w:rsidR="00930253" w:rsidRPr="00930253">
        <w:rPr>
          <w:rFonts w:ascii="Verdana" w:hAnsi="Verdana"/>
          <w:sz w:val="20"/>
          <w:szCs w:val="20"/>
        </w:rPr>
        <w:t xml:space="preserve">gresos con </w:t>
      </w:r>
      <w:r w:rsidR="00D26C0F">
        <w:rPr>
          <w:rFonts w:ascii="Verdana" w:hAnsi="Verdana"/>
          <w:sz w:val="20"/>
          <w:szCs w:val="20"/>
        </w:rPr>
        <w:t>v</w:t>
      </w:r>
      <w:r w:rsidR="00930253" w:rsidRPr="00930253">
        <w:rPr>
          <w:rFonts w:ascii="Verdana" w:hAnsi="Verdana"/>
          <w:sz w:val="20"/>
          <w:szCs w:val="20"/>
        </w:rPr>
        <w:t xml:space="preserve">encimientos </w:t>
      </w:r>
      <w:r w:rsidR="00D26C0F">
        <w:rPr>
          <w:rFonts w:ascii="Verdana" w:hAnsi="Verdana"/>
          <w:sz w:val="20"/>
          <w:szCs w:val="20"/>
        </w:rPr>
        <w:t>c</w:t>
      </w:r>
      <w:r w:rsidR="00930253" w:rsidRPr="00930253">
        <w:rPr>
          <w:rFonts w:ascii="Verdana" w:hAnsi="Verdana"/>
          <w:sz w:val="20"/>
          <w:szCs w:val="20"/>
        </w:rPr>
        <w:t>ontractuales de los pasivos y posiciones fuera de balance, en los horizontes de 7 y 30 días calendario siguientes a la fecha de la evaluación.</w:t>
      </w:r>
    </w:p>
    <w:p w14:paraId="785EB1D1" w14:textId="1310ED7E" w:rsidR="00930253" w:rsidRDefault="00AC0EE1" w:rsidP="00BB6AA3">
      <w:pPr>
        <w:ind w:left="567"/>
        <w:jc w:val="both"/>
        <w:rPr>
          <w:rFonts w:ascii="Verdana" w:hAnsi="Verdana"/>
          <w:sz w:val="20"/>
          <w:szCs w:val="20"/>
        </w:rPr>
      </w:pPr>
      <m:oMath>
        <m:r>
          <w:rPr>
            <w:rFonts w:ascii="Cambria Math" w:hAnsi="Cambria Math"/>
            <w:sz w:val="20"/>
            <w:szCs w:val="20"/>
          </w:rPr>
          <m:t>FNVNC</m:t>
        </m:r>
      </m:oMath>
      <w:r w:rsidR="00930253" w:rsidRPr="00930253">
        <w:rPr>
          <w:rFonts w:ascii="Verdana" w:hAnsi="Verdana"/>
          <w:sz w:val="20"/>
          <w:szCs w:val="20"/>
        </w:rPr>
        <w:t>:</w:t>
      </w:r>
      <w:r w:rsidR="00D26C0F">
        <w:rPr>
          <w:rFonts w:ascii="Verdana" w:hAnsi="Verdana"/>
          <w:sz w:val="20"/>
          <w:szCs w:val="20"/>
        </w:rPr>
        <w:t xml:space="preserve"> es el f</w:t>
      </w:r>
      <w:r w:rsidR="00930253" w:rsidRPr="00930253">
        <w:rPr>
          <w:rFonts w:ascii="Verdana" w:hAnsi="Verdana"/>
          <w:sz w:val="20"/>
          <w:szCs w:val="20"/>
        </w:rPr>
        <w:t xml:space="preserve">lujo </w:t>
      </w:r>
      <w:r w:rsidR="00D26C0F">
        <w:rPr>
          <w:rFonts w:ascii="Verdana" w:hAnsi="Verdana"/>
          <w:sz w:val="20"/>
          <w:szCs w:val="20"/>
        </w:rPr>
        <w:t>n</w:t>
      </w:r>
      <w:r w:rsidR="00930253" w:rsidRPr="00930253">
        <w:rPr>
          <w:rFonts w:ascii="Verdana" w:hAnsi="Verdana"/>
          <w:sz w:val="20"/>
          <w:szCs w:val="20"/>
        </w:rPr>
        <w:t xml:space="preserve">eto (estimado) de </w:t>
      </w:r>
      <w:r w:rsidR="00D26C0F">
        <w:rPr>
          <w:rFonts w:ascii="Verdana" w:hAnsi="Verdana"/>
          <w:sz w:val="20"/>
          <w:szCs w:val="20"/>
        </w:rPr>
        <w:t>v</w:t>
      </w:r>
      <w:r w:rsidR="00930253" w:rsidRPr="00930253">
        <w:rPr>
          <w:rFonts w:ascii="Verdana" w:hAnsi="Verdana"/>
          <w:sz w:val="20"/>
          <w:szCs w:val="20"/>
        </w:rPr>
        <w:t xml:space="preserve">encimientos </w:t>
      </w:r>
      <w:r w:rsidR="00D26C0F">
        <w:rPr>
          <w:rFonts w:ascii="Verdana" w:hAnsi="Verdana"/>
          <w:sz w:val="20"/>
          <w:szCs w:val="20"/>
        </w:rPr>
        <w:t>n</w:t>
      </w:r>
      <w:r w:rsidR="00930253" w:rsidRPr="00930253">
        <w:rPr>
          <w:rFonts w:ascii="Verdana" w:hAnsi="Verdana"/>
          <w:sz w:val="20"/>
          <w:szCs w:val="20"/>
        </w:rPr>
        <w:t xml:space="preserve">o </w:t>
      </w:r>
      <w:r w:rsidR="00D26C0F">
        <w:rPr>
          <w:rFonts w:ascii="Verdana" w:hAnsi="Verdana"/>
          <w:sz w:val="20"/>
          <w:szCs w:val="20"/>
        </w:rPr>
        <w:t>c</w:t>
      </w:r>
      <w:r w:rsidR="00930253" w:rsidRPr="00930253">
        <w:rPr>
          <w:rFonts w:ascii="Verdana" w:hAnsi="Verdana"/>
          <w:sz w:val="20"/>
          <w:szCs w:val="20"/>
        </w:rPr>
        <w:t>ontractuales, en los horizontes de 7 y 30 días calendario siguientes a la fecha de la evaluación.</w:t>
      </w:r>
    </w:p>
    <w:p w14:paraId="5BFF1F46" w14:textId="66DF83C7" w:rsidR="00AC0EE1" w:rsidRPr="00930253" w:rsidRDefault="00AC0EE1" w:rsidP="00AC0EE1">
      <w:pPr>
        <w:jc w:val="both"/>
        <w:rPr>
          <w:rFonts w:ascii="Verdana" w:hAnsi="Verdana"/>
          <w:sz w:val="20"/>
          <w:szCs w:val="20"/>
        </w:rPr>
      </w:pPr>
      <m:oMathPara>
        <m:oMath>
          <m:r>
            <w:rPr>
              <w:rFonts w:ascii="Cambria Math" w:hAnsi="Cambria Math"/>
              <w:sz w:val="20"/>
              <w:szCs w:val="20"/>
            </w:rPr>
            <m:t>FNVNC=FRN*DENC</m:t>
          </m:r>
        </m:oMath>
      </m:oMathPara>
    </w:p>
    <w:p w14:paraId="3D675466" w14:textId="40242D4C" w:rsidR="00930253" w:rsidRPr="00930253" w:rsidRDefault="00930253" w:rsidP="006770A1">
      <w:pPr>
        <w:ind w:firstLine="567"/>
        <w:jc w:val="both"/>
        <w:rPr>
          <w:rFonts w:ascii="Verdana" w:hAnsi="Verdana"/>
          <w:sz w:val="20"/>
          <w:szCs w:val="20"/>
        </w:rPr>
      </w:pPr>
      <w:r w:rsidRPr="00930253">
        <w:rPr>
          <w:rFonts w:ascii="Verdana" w:hAnsi="Verdana"/>
          <w:sz w:val="20"/>
          <w:szCs w:val="20"/>
        </w:rPr>
        <w:t>Donde:</w:t>
      </w:r>
    </w:p>
    <w:p w14:paraId="401D919D" w14:textId="14124107" w:rsidR="00930253" w:rsidRPr="00930253" w:rsidRDefault="006770A1" w:rsidP="006770A1">
      <w:pPr>
        <w:ind w:left="567"/>
        <w:jc w:val="both"/>
        <w:rPr>
          <w:rFonts w:ascii="Verdana" w:hAnsi="Verdana"/>
          <w:sz w:val="20"/>
          <w:szCs w:val="20"/>
        </w:rPr>
      </w:pPr>
      <m:oMath>
        <m:r>
          <w:rPr>
            <w:rFonts w:ascii="Cambria Math" w:hAnsi="Cambria Math"/>
            <w:sz w:val="20"/>
            <w:szCs w:val="20"/>
          </w:rPr>
          <m:t>FRN</m:t>
        </m:r>
      </m:oMath>
      <w:r w:rsidR="00930253" w:rsidRPr="00930253">
        <w:rPr>
          <w:rFonts w:ascii="Verdana" w:hAnsi="Verdana"/>
          <w:sz w:val="20"/>
          <w:szCs w:val="20"/>
        </w:rPr>
        <w:t>:</w:t>
      </w:r>
      <w:r w:rsidR="00B259EA">
        <w:rPr>
          <w:rFonts w:ascii="Verdana" w:hAnsi="Verdana"/>
          <w:sz w:val="20"/>
          <w:szCs w:val="20"/>
        </w:rPr>
        <w:t xml:space="preserve"> </w:t>
      </w:r>
      <w:r w:rsidR="00D26C0F">
        <w:rPr>
          <w:rFonts w:ascii="Verdana" w:hAnsi="Verdana"/>
          <w:sz w:val="20"/>
          <w:szCs w:val="20"/>
        </w:rPr>
        <w:t>es el f</w:t>
      </w:r>
      <w:r w:rsidR="00930253" w:rsidRPr="00930253">
        <w:rPr>
          <w:rFonts w:ascii="Verdana" w:hAnsi="Verdana"/>
          <w:sz w:val="20"/>
          <w:szCs w:val="20"/>
        </w:rPr>
        <w:t xml:space="preserve">actor de </w:t>
      </w:r>
      <w:r w:rsidR="00D26C0F">
        <w:rPr>
          <w:rFonts w:ascii="Verdana" w:hAnsi="Verdana"/>
          <w:sz w:val="20"/>
          <w:szCs w:val="20"/>
        </w:rPr>
        <w:t>r</w:t>
      </w:r>
      <w:r w:rsidR="00930253" w:rsidRPr="00930253">
        <w:rPr>
          <w:rFonts w:ascii="Verdana" w:hAnsi="Verdana"/>
          <w:sz w:val="20"/>
          <w:szCs w:val="20"/>
        </w:rPr>
        <w:t xml:space="preserve">etiros </w:t>
      </w:r>
      <w:r w:rsidR="00D26C0F">
        <w:rPr>
          <w:rFonts w:ascii="Verdana" w:hAnsi="Verdana"/>
          <w:sz w:val="20"/>
          <w:szCs w:val="20"/>
        </w:rPr>
        <w:t>n</w:t>
      </w:r>
      <w:r w:rsidR="00930253" w:rsidRPr="00930253">
        <w:rPr>
          <w:rFonts w:ascii="Verdana" w:hAnsi="Verdana"/>
          <w:sz w:val="20"/>
          <w:szCs w:val="20"/>
        </w:rPr>
        <w:t>etos (%) mensual para el horizonte de 30 días y multiplicado por 7/30 para el horizonte de 7 días calendario.</w:t>
      </w:r>
    </w:p>
    <w:p w14:paraId="49681597" w14:textId="55617225" w:rsidR="00930253" w:rsidRPr="00930253" w:rsidRDefault="006770A1" w:rsidP="00B259EA">
      <w:pPr>
        <w:ind w:left="1134" w:hanging="567"/>
        <w:jc w:val="both"/>
        <w:rPr>
          <w:rFonts w:ascii="Verdana" w:hAnsi="Verdana"/>
          <w:sz w:val="20"/>
          <w:szCs w:val="20"/>
        </w:rPr>
      </w:pPr>
      <m:oMath>
        <m:r>
          <w:rPr>
            <w:rFonts w:ascii="Cambria Math" w:hAnsi="Cambria Math"/>
            <w:sz w:val="20"/>
            <w:szCs w:val="20"/>
          </w:rPr>
          <m:t>DENC</m:t>
        </m:r>
      </m:oMath>
      <w:r w:rsidR="00930253" w:rsidRPr="00930253">
        <w:rPr>
          <w:rFonts w:ascii="Verdana" w:hAnsi="Verdana"/>
          <w:sz w:val="20"/>
          <w:szCs w:val="20"/>
        </w:rPr>
        <w:t>:</w:t>
      </w:r>
      <w:r w:rsidR="00BB6AA3">
        <w:rPr>
          <w:rFonts w:ascii="Verdana" w:hAnsi="Verdana"/>
          <w:sz w:val="20"/>
          <w:szCs w:val="20"/>
        </w:rPr>
        <w:t xml:space="preserve"> </w:t>
      </w:r>
      <w:r w:rsidR="00D26C0F">
        <w:rPr>
          <w:rFonts w:ascii="Verdana" w:hAnsi="Verdana"/>
          <w:sz w:val="20"/>
          <w:szCs w:val="20"/>
        </w:rPr>
        <w:t>son los d</w:t>
      </w:r>
      <w:r w:rsidR="00930253" w:rsidRPr="00930253">
        <w:rPr>
          <w:rFonts w:ascii="Verdana" w:hAnsi="Verdana"/>
          <w:sz w:val="20"/>
          <w:szCs w:val="20"/>
        </w:rPr>
        <w:t xml:space="preserve">epósitos y </w:t>
      </w:r>
      <w:r w:rsidR="00D26C0F">
        <w:rPr>
          <w:rFonts w:ascii="Verdana" w:hAnsi="Verdana"/>
          <w:sz w:val="20"/>
          <w:szCs w:val="20"/>
        </w:rPr>
        <w:t>e</w:t>
      </w:r>
      <w:r w:rsidR="00930253" w:rsidRPr="00930253">
        <w:rPr>
          <w:rFonts w:ascii="Verdana" w:hAnsi="Verdana"/>
          <w:sz w:val="20"/>
          <w:szCs w:val="20"/>
        </w:rPr>
        <w:t xml:space="preserve">xigibilidades </w:t>
      </w:r>
      <w:r w:rsidR="00D26C0F">
        <w:rPr>
          <w:rFonts w:ascii="Verdana" w:hAnsi="Verdana"/>
          <w:sz w:val="20"/>
          <w:szCs w:val="20"/>
        </w:rPr>
        <w:t>n</w:t>
      </w:r>
      <w:r w:rsidR="00930253" w:rsidRPr="00930253">
        <w:rPr>
          <w:rFonts w:ascii="Verdana" w:hAnsi="Verdana"/>
          <w:sz w:val="20"/>
          <w:szCs w:val="20"/>
        </w:rPr>
        <w:t xml:space="preserve">o </w:t>
      </w:r>
      <w:r w:rsidR="00D26C0F">
        <w:rPr>
          <w:rFonts w:ascii="Verdana" w:hAnsi="Verdana"/>
          <w:sz w:val="20"/>
          <w:szCs w:val="20"/>
        </w:rPr>
        <w:t>c</w:t>
      </w:r>
      <w:r w:rsidR="00930253" w:rsidRPr="00930253">
        <w:rPr>
          <w:rFonts w:ascii="Verdana" w:hAnsi="Verdana"/>
          <w:sz w:val="20"/>
          <w:szCs w:val="20"/>
        </w:rPr>
        <w:t>ontractuales en la fecha de corte</w:t>
      </w:r>
    </w:p>
    <w:p w14:paraId="5360C5DC" w14:textId="43734E98" w:rsidR="00930253" w:rsidRPr="00930253" w:rsidRDefault="006770A1" w:rsidP="006770A1">
      <w:pPr>
        <w:ind w:left="567"/>
        <w:jc w:val="both"/>
        <w:rPr>
          <w:rFonts w:ascii="Verdana" w:hAnsi="Verdana"/>
          <w:sz w:val="20"/>
          <w:szCs w:val="20"/>
        </w:rPr>
      </w:pPr>
      <m:oMath>
        <m:r>
          <w:rPr>
            <w:rFonts w:ascii="Cambria Math" w:hAnsi="Cambria Math"/>
            <w:sz w:val="20"/>
            <w:szCs w:val="20"/>
          </w:rPr>
          <m:t>FIVC</m:t>
        </m:r>
      </m:oMath>
      <w:r w:rsidR="00930253" w:rsidRPr="00930253">
        <w:rPr>
          <w:rFonts w:ascii="Verdana" w:hAnsi="Verdana"/>
          <w:sz w:val="20"/>
          <w:szCs w:val="20"/>
        </w:rPr>
        <w:t>:</w:t>
      </w:r>
      <w:r w:rsidR="00AB79A5">
        <w:rPr>
          <w:rFonts w:ascii="Verdana" w:hAnsi="Verdana"/>
          <w:sz w:val="20"/>
          <w:szCs w:val="20"/>
        </w:rPr>
        <w:t xml:space="preserve">  </w:t>
      </w:r>
      <w:r w:rsidR="00D26C0F">
        <w:rPr>
          <w:rFonts w:ascii="Verdana" w:hAnsi="Verdana"/>
          <w:sz w:val="20"/>
          <w:szCs w:val="20"/>
        </w:rPr>
        <w:t>son los f</w:t>
      </w:r>
      <w:r w:rsidR="00930253" w:rsidRPr="00930253">
        <w:rPr>
          <w:rFonts w:ascii="Verdana" w:hAnsi="Verdana"/>
          <w:sz w:val="20"/>
          <w:szCs w:val="20"/>
        </w:rPr>
        <w:t>lujo</w:t>
      </w:r>
      <w:r w:rsidR="00D26C0F">
        <w:rPr>
          <w:rFonts w:ascii="Verdana" w:hAnsi="Verdana"/>
          <w:sz w:val="20"/>
          <w:szCs w:val="20"/>
        </w:rPr>
        <w:t>s</w:t>
      </w:r>
      <w:r w:rsidR="00930253" w:rsidRPr="00930253">
        <w:rPr>
          <w:rFonts w:ascii="Verdana" w:hAnsi="Verdana"/>
          <w:sz w:val="20"/>
          <w:szCs w:val="20"/>
        </w:rPr>
        <w:t xml:space="preserve"> de </w:t>
      </w:r>
      <w:r w:rsidR="00D26C0F">
        <w:rPr>
          <w:rFonts w:ascii="Verdana" w:hAnsi="Verdana"/>
          <w:sz w:val="20"/>
          <w:szCs w:val="20"/>
        </w:rPr>
        <w:t>i</w:t>
      </w:r>
      <w:r w:rsidR="00930253" w:rsidRPr="00930253">
        <w:rPr>
          <w:rFonts w:ascii="Verdana" w:hAnsi="Verdana"/>
          <w:sz w:val="20"/>
          <w:szCs w:val="20"/>
        </w:rPr>
        <w:t xml:space="preserve">ngresos con </w:t>
      </w:r>
      <w:r w:rsidR="00D26C0F">
        <w:rPr>
          <w:rFonts w:ascii="Verdana" w:hAnsi="Verdana"/>
          <w:sz w:val="20"/>
          <w:szCs w:val="20"/>
        </w:rPr>
        <w:t>v</w:t>
      </w:r>
      <w:r w:rsidR="00930253" w:rsidRPr="00930253">
        <w:rPr>
          <w:rFonts w:ascii="Verdana" w:hAnsi="Verdana"/>
          <w:sz w:val="20"/>
          <w:szCs w:val="20"/>
        </w:rPr>
        <w:t xml:space="preserve">encimientos </w:t>
      </w:r>
      <w:r w:rsidR="00D26C0F">
        <w:rPr>
          <w:rFonts w:ascii="Verdana" w:hAnsi="Verdana"/>
          <w:sz w:val="20"/>
          <w:szCs w:val="20"/>
        </w:rPr>
        <w:t>c</w:t>
      </w:r>
      <w:r w:rsidR="00930253" w:rsidRPr="00930253">
        <w:rPr>
          <w:rFonts w:ascii="Verdana" w:hAnsi="Verdana"/>
          <w:sz w:val="20"/>
          <w:szCs w:val="20"/>
        </w:rPr>
        <w:t>ontractuales de los activos y posiciones fuera de balance, en los horizontes de 7 y 30 días calendario siguientes a la fecha de la evaluación.</w:t>
      </w:r>
    </w:p>
    <w:p w14:paraId="05756C08" w14:textId="4CC45765" w:rsidR="00AB79A5" w:rsidRDefault="00930253" w:rsidP="002912D0">
      <w:pPr>
        <w:jc w:val="both"/>
        <w:rPr>
          <w:rFonts w:ascii="Verdana" w:hAnsi="Verdana"/>
          <w:sz w:val="20"/>
          <w:szCs w:val="20"/>
        </w:rPr>
      </w:pPr>
      <w:r w:rsidRPr="003B1055">
        <w:rPr>
          <w:rFonts w:ascii="Verdana" w:hAnsi="Verdana"/>
          <w:b/>
          <w:bCs/>
          <w:sz w:val="20"/>
          <w:szCs w:val="20"/>
        </w:rPr>
        <w:t xml:space="preserve">Cálculo del </w:t>
      </w:r>
      <w:r w:rsidR="006770A1">
        <w:rPr>
          <w:rFonts w:ascii="Verdana" w:hAnsi="Verdana"/>
          <w:b/>
          <w:bCs/>
          <w:sz w:val="20"/>
          <w:szCs w:val="20"/>
        </w:rPr>
        <w:t>i</w:t>
      </w:r>
      <w:r w:rsidRPr="003B1055">
        <w:rPr>
          <w:rFonts w:ascii="Verdana" w:hAnsi="Verdana"/>
          <w:b/>
          <w:bCs/>
          <w:sz w:val="20"/>
          <w:szCs w:val="20"/>
        </w:rPr>
        <w:t xml:space="preserve">ndicador de </w:t>
      </w:r>
      <w:r w:rsidR="006770A1">
        <w:rPr>
          <w:rFonts w:ascii="Verdana" w:hAnsi="Verdana"/>
          <w:b/>
          <w:bCs/>
          <w:sz w:val="20"/>
          <w:szCs w:val="20"/>
        </w:rPr>
        <w:t>r</w:t>
      </w:r>
      <w:r w:rsidRPr="003B1055">
        <w:rPr>
          <w:rFonts w:ascii="Verdana" w:hAnsi="Verdana"/>
          <w:b/>
          <w:bCs/>
          <w:sz w:val="20"/>
          <w:szCs w:val="20"/>
        </w:rPr>
        <w:t xml:space="preserve">iesgo de </w:t>
      </w:r>
      <w:r w:rsidR="006770A1">
        <w:rPr>
          <w:rFonts w:ascii="Verdana" w:hAnsi="Verdana"/>
          <w:b/>
          <w:bCs/>
          <w:sz w:val="20"/>
          <w:szCs w:val="20"/>
        </w:rPr>
        <w:t>l</w:t>
      </w:r>
      <w:r w:rsidRPr="003B1055">
        <w:rPr>
          <w:rFonts w:ascii="Verdana" w:hAnsi="Verdana"/>
          <w:b/>
          <w:bCs/>
          <w:sz w:val="20"/>
          <w:szCs w:val="20"/>
        </w:rPr>
        <w:t>iquidez (</w:t>
      </w:r>
      <w:proofErr w:type="spellStart"/>
      <w:r w:rsidRPr="003B1055">
        <w:rPr>
          <w:rFonts w:ascii="Verdana" w:hAnsi="Verdana"/>
          <w:b/>
          <w:bCs/>
          <w:sz w:val="20"/>
          <w:szCs w:val="20"/>
        </w:rPr>
        <w:t>IRLr</w:t>
      </w:r>
      <w:proofErr w:type="spellEnd"/>
      <w:r w:rsidRPr="003B1055">
        <w:rPr>
          <w:rFonts w:ascii="Verdana" w:hAnsi="Verdana"/>
          <w:b/>
          <w:bCs/>
          <w:sz w:val="20"/>
          <w:szCs w:val="20"/>
        </w:rPr>
        <w:t xml:space="preserve">) </w:t>
      </w:r>
    </w:p>
    <w:p w14:paraId="3154F883" w14:textId="63A9B8AA" w:rsidR="00F21697" w:rsidRPr="000E0B7B" w:rsidRDefault="00F21697" w:rsidP="00F21697">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A9</w:t>
      </w:r>
      <w:r w:rsidRPr="000E0B7B">
        <w:rPr>
          <w:rFonts w:ascii="Verdana" w:hAnsi="Verdana"/>
          <w:sz w:val="20"/>
          <w:szCs w:val="20"/>
        </w:rPr>
        <w:t>.</w:t>
      </w:r>
      <w:r>
        <w:rPr>
          <w:rFonts w:ascii="Verdana" w:hAnsi="Verdana"/>
          <w:sz w:val="20"/>
          <w:szCs w:val="20"/>
        </w:rPr>
        <w:t>4</w:t>
      </w:r>
      <w:r w:rsidR="00293457">
        <w:rPr>
          <w:rFonts w:ascii="Verdana" w:hAnsi="Verdana"/>
          <w:sz w:val="20"/>
          <w:szCs w:val="20"/>
        </w:rPr>
        <w:t>5</w:t>
      </w:r>
      <w:r w:rsidRPr="000E0B7B">
        <w:rPr>
          <w:rFonts w:ascii="Verdana" w:hAnsi="Verdana"/>
          <w:sz w:val="20"/>
          <w:szCs w:val="20"/>
        </w:rPr>
        <w:t>.</w:t>
      </w:r>
    </w:p>
    <w:p w14:paraId="7F1003DB" w14:textId="5D13BAC5" w:rsidR="00930253" w:rsidRPr="00930253" w:rsidRDefault="00930253" w:rsidP="00930253">
      <w:pPr>
        <w:jc w:val="both"/>
        <w:rPr>
          <w:rFonts w:ascii="Verdana" w:hAnsi="Verdana"/>
          <w:sz w:val="20"/>
          <w:szCs w:val="20"/>
        </w:rPr>
      </w:pPr>
      <w:r w:rsidRPr="00930253">
        <w:rPr>
          <w:rFonts w:ascii="Verdana" w:hAnsi="Verdana"/>
          <w:sz w:val="20"/>
          <w:szCs w:val="20"/>
        </w:rPr>
        <w:t>El Indicador de Riesgo de Liquidez (</w:t>
      </w:r>
      <w:proofErr w:type="spellStart"/>
      <w:r w:rsidRPr="00930253">
        <w:rPr>
          <w:rFonts w:ascii="Verdana" w:hAnsi="Verdana"/>
          <w:sz w:val="20"/>
          <w:szCs w:val="20"/>
        </w:rPr>
        <w:t>IRL</w:t>
      </w:r>
      <w:r w:rsidRPr="00930253">
        <w:rPr>
          <w:rFonts w:ascii="Verdana" w:hAnsi="Verdana"/>
          <w:sz w:val="20"/>
          <w:szCs w:val="20"/>
          <w:vertAlign w:val="subscript"/>
        </w:rPr>
        <w:t>r</w:t>
      </w:r>
      <w:proofErr w:type="spellEnd"/>
      <w:r w:rsidRPr="00930253">
        <w:rPr>
          <w:rFonts w:ascii="Verdana" w:hAnsi="Verdana"/>
          <w:sz w:val="20"/>
          <w:szCs w:val="20"/>
        </w:rPr>
        <w:t xml:space="preserve">) en cada fecha de evaluación será la razón, en donde el numerador consiste en los activos líquidos ajustados por liquidez de mercado y riesgo cambiario (ALM) y el denominador consiste en el requerimiento de liquidez neto total de la primera banda o de la sumatoria de las 3 primeras bandas de tiempo (RLN), según corresponda. Tal cálculo se expresa de la siguiente manera: </w:t>
      </w:r>
    </w:p>
    <w:p w14:paraId="2470F37A" w14:textId="7911C13C" w:rsidR="00930253" w:rsidRPr="00930253" w:rsidRDefault="00611ADD" w:rsidP="00930253">
      <w:pPr>
        <w:jc w:val="both"/>
        <w:rPr>
          <w:rFonts w:ascii="Verdana" w:hAnsi="Verdana"/>
          <w:sz w:val="20"/>
          <w:szCs w:val="20"/>
        </w:rPr>
      </w:pPr>
      <m:oMathPara>
        <m:oMath>
          <m:sSub>
            <m:sSubPr>
              <m:ctrlPr>
                <w:rPr>
                  <w:rFonts w:ascii="Cambria Math" w:hAnsi="Cambria Math"/>
                  <w:i/>
                  <w:sz w:val="20"/>
                  <w:szCs w:val="20"/>
                </w:rPr>
              </m:ctrlPr>
            </m:sSubPr>
            <m:e>
              <m:r>
                <w:rPr>
                  <w:rFonts w:ascii="Cambria Math" w:hAnsi="Cambria Math"/>
                  <w:sz w:val="20"/>
                  <w:szCs w:val="20"/>
                </w:rPr>
                <m:t>IRL</m:t>
              </m:r>
            </m:e>
            <m:sub>
              <m:r>
                <w:rPr>
                  <w:rFonts w:ascii="Cambria Math" w:hAnsi="Cambria Math"/>
                  <w:sz w:val="20"/>
                  <w:szCs w:val="20"/>
                </w:rPr>
                <m:t>r</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ALM</m:t>
              </m:r>
            </m:num>
            <m:den>
              <m:r>
                <w:rPr>
                  <w:rFonts w:ascii="Cambria Math" w:hAnsi="Cambria Math"/>
                  <w:sz w:val="20"/>
                  <w:szCs w:val="20"/>
                </w:rPr>
                <m:t>RLN</m:t>
              </m:r>
            </m:den>
          </m:f>
        </m:oMath>
      </m:oMathPara>
    </w:p>
    <w:sectPr w:rsidR="00930253" w:rsidRPr="00930253"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876D" w14:textId="77777777" w:rsidR="008C3C20" w:rsidRDefault="008C3C20" w:rsidP="00057BF6">
      <w:pPr>
        <w:spacing w:after="0" w:line="240" w:lineRule="auto"/>
      </w:pPr>
      <w:r>
        <w:separator/>
      </w:r>
    </w:p>
  </w:endnote>
  <w:endnote w:type="continuationSeparator" w:id="0">
    <w:p w14:paraId="1A95937A" w14:textId="77777777" w:rsidR="008C3C20" w:rsidRDefault="008C3C20"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06C55" w14:textId="77777777" w:rsidR="008C3C20" w:rsidRDefault="008C3C20" w:rsidP="00057BF6">
      <w:pPr>
        <w:spacing w:after="0" w:line="240" w:lineRule="auto"/>
      </w:pPr>
      <w:r>
        <w:separator/>
      </w:r>
    </w:p>
  </w:footnote>
  <w:footnote w:type="continuationSeparator" w:id="0">
    <w:p w14:paraId="70ABB9E5" w14:textId="77777777" w:rsidR="008C3C20" w:rsidRDefault="008C3C20"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C84C8F"/>
    <w:multiLevelType w:val="hybridMultilevel"/>
    <w:tmpl w:val="AB4CFA9C"/>
    <w:lvl w:ilvl="0" w:tplc="240A001B">
      <w:start w:val="1"/>
      <w:numFmt w:val="lowerRoman"/>
      <w:lvlText w:val="%1."/>
      <w:lvlJc w:val="right"/>
      <w:pPr>
        <w:ind w:left="928" w:hanging="360"/>
      </w:pPr>
      <w:rPr>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1C232932"/>
    <w:multiLevelType w:val="multilevel"/>
    <w:tmpl w:val="2ECE13F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226B2186"/>
    <w:multiLevelType w:val="hybridMultilevel"/>
    <w:tmpl w:val="D9C27BA8"/>
    <w:lvl w:ilvl="0" w:tplc="240A0019">
      <w:start w:val="1"/>
      <w:numFmt w:val="lowerLetter"/>
      <w:lvlText w:val="%1."/>
      <w:lvlJc w:val="left"/>
      <w:pPr>
        <w:ind w:left="360" w:hanging="360"/>
      </w:pPr>
      <w:rPr>
        <w:b w:val="0"/>
        <w:bC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0"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22"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3E6C0301"/>
    <w:multiLevelType w:val="hybridMultilevel"/>
    <w:tmpl w:val="A21A312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EB03970"/>
    <w:multiLevelType w:val="hybridMultilevel"/>
    <w:tmpl w:val="3A369A88"/>
    <w:lvl w:ilvl="0" w:tplc="240A0019">
      <w:start w:val="1"/>
      <w:numFmt w:val="lowerLetter"/>
      <w:lvlText w:val="%1."/>
      <w:lvlJc w:val="left"/>
      <w:pPr>
        <w:ind w:left="928"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ADA45B5"/>
    <w:multiLevelType w:val="hybridMultilevel"/>
    <w:tmpl w:val="CF8A5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28A2688"/>
    <w:multiLevelType w:val="hybridMultilevel"/>
    <w:tmpl w:val="439E53F0"/>
    <w:lvl w:ilvl="0" w:tplc="C6507078">
      <w:start w:val="1"/>
      <w:numFmt w:val="decimal"/>
      <w:lvlText w:val="%1"/>
      <w:lvlJc w:val="left"/>
      <w:pPr>
        <w:tabs>
          <w:tab w:val="num" w:pos="360"/>
        </w:tabs>
        <w:ind w:left="360" w:hanging="360"/>
      </w:pPr>
      <w:rPr>
        <w:rFonts w:hint="default"/>
      </w:rPr>
    </w:lvl>
    <w:lvl w:ilvl="1" w:tplc="F69A02BC">
      <w:numFmt w:val="none"/>
      <w:lvlText w:val=""/>
      <w:lvlJc w:val="left"/>
      <w:pPr>
        <w:tabs>
          <w:tab w:val="num" w:pos="360"/>
        </w:tabs>
      </w:pPr>
    </w:lvl>
    <w:lvl w:ilvl="2" w:tplc="2C38E55E">
      <w:numFmt w:val="none"/>
      <w:lvlText w:val=""/>
      <w:lvlJc w:val="left"/>
      <w:pPr>
        <w:tabs>
          <w:tab w:val="num" w:pos="360"/>
        </w:tabs>
      </w:pPr>
    </w:lvl>
    <w:lvl w:ilvl="3" w:tplc="FF6C6FE2">
      <w:numFmt w:val="none"/>
      <w:lvlText w:val=""/>
      <w:lvlJc w:val="left"/>
      <w:pPr>
        <w:tabs>
          <w:tab w:val="num" w:pos="360"/>
        </w:tabs>
      </w:pPr>
    </w:lvl>
    <w:lvl w:ilvl="4" w:tplc="A586B800">
      <w:numFmt w:val="none"/>
      <w:lvlText w:val=""/>
      <w:lvlJc w:val="left"/>
      <w:pPr>
        <w:tabs>
          <w:tab w:val="num" w:pos="360"/>
        </w:tabs>
      </w:pPr>
    </w:lvl>
    <w:lvl w:ilvl="5" w:tplc="4BC40FC4">
      <w:numFmt w:val="none"/>
      <w:lvlText w:val=""/>
      <w:lvlJc w:val="left"/>
      <w:pPr>
        <w:tabs>
          <w:tab w:val="num" w:pos="360"/>
        </w:tabs>
      </w:pPr>
    </w:lvl>
    <w:lvl w:ilvl="6" w:tplc="5492E5B0">
      <w:numFmt w:val="none"/>
      <w:lvlText w:val=""/>
      <w:lvlJc w:val="left"/>
      <w:pPr>
        <w:tabs>
          <w:tab w:val="num" w:pos="360"/>
        </w:tabs>
      </w:pPr>
    </w:lvl>
    <w:lvl w:ilvl="7" w:tplc="3B9C4C36">
      <w:numFmt w:val="none"/>
      <w:lvlText w:val=""/>
      <w:lvlJc w:val="left"/>
      <w:pPr>
        <w:tabs>
          <w:tab w:val="num" w:pos="360"/>
        </w:tabs>
      </w:pPr>
    </w:lvl>
    <w:lvl w:ilvl="8" w:tplc="32CAC3CE">
      <w:numFmt w:val="none"/>
      <w:lvlText w:val=""/>
      <w:lvlJc w:val="left"/>
      <w:pPr>
        <w:tabs>
          <w:tab w:val="num" w:pos="360"/>
        </w:tabs>
      </w:pPr>
    </w:lvl>
  </w:abstractNum>
  <w:abstractNum w:abstractNumId="38"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5" w15:restartNumberingAfterBreak="0">
    <w:nsid w:val="700C5296"/>
    <w:multiLevelType w:val="multilevel"/>
    <w:tmpl w:val="04C434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32"/>
  </w:num>
  <w:num w:numId="2" w16cid:durableId="1880435568">
    <w:abstractNumId w:val="46"/>
  </w:num>
  <w:num w:numId="3" w16cid:durableId="1362513633">
    <w:abstractNumId w:val="0"/>
  </w:num>
  <w:num w:numId="4" w16cid:durableId="865407780">
    <w:abstractNumId w:val="17"/>
  </w:num>
  <w:num w:numId="5" w16cid:durableId="2142072933">
    <w:abstractNumId w:val="12"/>
  </w:num>
  <w:num w:numId="6" w16cid:durableId="1895698361">
    <w:abstractNumId w:val="40"/>
  </w:num>
  <w:num w:numId="7" w16cid:durableId="2113162086">
    <w:abstractNumId w:val="3"/>
  </w:num>
  <w:num w:numId="8" w16cid:durableId="153033862">
    <w:abstractNumId w:val="15"/>
  </w:num>
  <w:num w:numId="9" w16cid:durableId="1967345544">
    <w:abstractNumId w:val="7"/>
  </w:num>
  <w:num w:numId="10" w16cid:durableId="981033342">
    <w:abstractNumId w:val="48"/>
  </w:num>
  <w:num w:numId="11" w16cid:durableId="1402868393">
    <w:abstractNumId w:val="10"/>
  </w:num>
  <w:num w:numId="12" w16cid:durableId="1006246652">
    <w:abstractNumId w:val="35"/>
  </w:num>
  <w:num w:numId="13" w16cid:durableId="978728261">
    <w:abstractNumId w:val="24"/>
  </w:num>
  <w:num w:numId="14" w16cid:durableId="78528817">
    <w:abstractNumId w:val="31"/>
  </w:num>
  <w:num w:numId="15" w16cid:durableId="1400783133">
    <w:abstractNumId w:val="42"/>
  </w:num>
  <w:num w:numId="16" w16cid:durableId="1938364807">
    <w:abstractNumId w:val="21"/>
  </w:num>
  <w:num w:numId="17" w16cid:durableId="1205092842">
    <w:abstractNumId w:val="34"/>
  </w:num>
  <w:num w:numId="18" w16cid:durableId="767624783">
    <w:abstractNumId w:val="44"/>
  </w:num>
  <w:num w:numId="19" w16cid:durableId="1220632725">
    <w:abstractNumId w:val="43"/>
  </w:num>
  <w:num w:numId="20" w16cid:durableId="2122873339">
    <w:abstractNumId w:val="25"/>
  </w:num>
  <w:num w:numId="21" w16cid:durableId="291398624">
    <w:abstractNumId w:val="1"/>
  </w:num>
  <w:num w:numId="22" w16cid:durableId="1656568277">
    <w:abstractNumId w:val="29"/>
  </w:num>
  <w:num w:numId="23" w16cid:durableId="693846277">
    <w:abstractNumId w:val="47"/>
  </w:num>
  <w:num w:numId="24" w16cid:durableId="626394639">
    <w:abstractNumId w:val="41"/>
  </w:num>
  <w:num w:numId="25" w16cid:durableId="1283152959">
    <w:abstractNumId w:val="19"/>
  </w:num>
  <w:num w:numId="26" w16cid:durableId="1833835843">
    <w:abstractNumId w:val="11"/>
  </w:num>
  <w:num w:numId="27" w16cid:durableId="1448355760">
    <w:abstractNumId w:val="28"/>
  </w:num>
  <w:num w:numId="28" w16cid:durableId="1302419666">
    <w:abstractNumId w:val="18"/>
  </w:num>
  <w:num w:numId="29" w16cid:durableId="996416780">
    <w:abstractNumId w:val="23"/>
  </w:num>
  <w:num w:numId="30" w16cid:durableId="679966915">
    <w:abstractNumId w:val="33"/>
  </w:num>
  <w:num w:numId="31" w16cid:durableId="388916171">
    <w:abstractNumId w:val="39"/>
  </w:num>
  <w:num w:numId="32" w16cid:durableId="1085344735">
    <w:abstractNumId w:val="9"/>
  </w:num>
  <w:num w:numId="33" w16cid:durableId="178398284">
    <w:abstractNumId w:val="36"/>
  </w:num>
  <w:num w:numId="34" w16cid:durableId="1256087641">
    <w:abstractNumId w:val="5"/>
  </w:num>
  <w:num w:numId="35" w16cid:durableId="432360488">
    <w:abstractNumId w:val="6"/>
  </w:num>
  <w:num w:numId="36" w16cid:durableId="184101424">
    <w:abstractNumId w:val="38"/>
  </w:num>
  <w:num w:numId="37" w16cid:durableId="1636792291">
    <w:abstractNumId w:val="8"/>
  </w:num>
  <w:num w:numId="38" w16cid:durableId="1738629813">
    <w:abstractNumId w:val="4"/>
  </w:num>
  <w:num w:numId="39" w16cid:durableId="1292438572">
    <w:abstractNumId w:val="22"/>
  </w:num>
  <w:num w:numId="40" w16cid:durableId="538974937">
    <w:abstractNumId w:val="20"/>
  </w:num>
  <w:num w:numId="41" w16cid:durableId="1960837229">
    <w:abstractNumId w:val="14"/>
  </w:num>
  <w:num w:numId="42" w16cid:durableId="1971784268">
    <w:abstractNumId w:val="37"/>
  </w:num>
  <w:num w:numId="43" w16cid:durableId="1220285518">
    <w:abstractNumId w:val="13"/>
  </w:num>
  <w:num w:numId="44" w16cid:durableId="1835798823">
    <w:abstractNumId w:val="45"/>
  </w:num>
  <w:num w:numId="45" w16cid:durableId="1882933081">
    <w:abstractNumId w:val="16"/>
  </w:num>
  <w:num w:numId="46" w16cid:durableId="1785224205">
    <w:abstractNumId w:val="2"/>
  </w:num>
  <w:num w:numId="47" w16cid:durableId="801193137">
    <w:abstractNumId w:val="27"/>
  </w:num>
  <w:num w:numId="48" w16cid:durableId="1703162904">
    <w:abstractNumId w:val="26"/>
  </w:num>
  <w:num w:numId="49" w16cid:durableId="17411771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DD1"/>
    <w:rsid w:val="00001EB0"/>
    <w:rsid w:val="00021CC5"/>
    <w:rsid w:val="00033341"/>
    <w:rsid w:val="000505A9"/>
    <w:rsid w:val="000520CE"/>
    <w:rsid w:val="00057BF6"/>
    <w:rsid w:val="00062058"/>
    <w:rsid w:val="00066942"/>
    <w:rsid w:val="0006736C"/>
    <w:rsid w:val="0007205C"/>
    <w:rsid w:val="0008602D"/>
    <w:rsid w:val="00087182"/>
    <w:rsid w:val="00097246"/>
    <w:rsid w:val="000A029C"/>
    <w:rsid w:val="000C3280"/>
    <w:rsid w:val="000E76DD"/>
    <w:rsid w:val="000F05DD"/>
    <w:rsid w:val="000F3359"/>
    <w:rsid w:val="000F3AEF"/>
    <w:rsid w:val="000F720E"/>
    <w:rsid w:val="00103F0F"/>
    <w:rsid w:val="00104FC8"/>
    <w:rsid w:val="0011169F"/>
    <w:rsid w:val="001177D3"/>
    <w:rsid w:val="0013573C"/>
    <w:rsid w:val="00136976"/>
    <w:rsid w:val="001504D1"/>
    <w:rsid w:val="00151BC9"/>
    <w:rsid w:val="00167AF2"/>
    <w:rsid w:val="001766D4"/>
    <w:rsid w:val="0018276C"/>
    <w:rsid w:val="00194D4D"/>
    <w:rsid w:val="001A3081"/>
    <w:rsid w:val="001B5187"/>
    <w:rsid w:val="001E26F1"/>
    <w:rsid w:val="00213DA3"/>
    <w:rsid w:val="0021666A"/>
    <w:rsid w:val="00220850"/>
    <w:rsid w:val="00227D1C"/>
    <w:rsid w:val="00271254"/>
    <w:rsid w:val="00275F13"/>
    <w:rsid w:val="002904CD"/>
    <w:rsid w:val="00290C1A"/>
    <w:rsid w:val="002912D0"/>
    <w:rsid w:val="00293457"/>
    <w:rsid w:val="002B2CA7"/>
    <w:rsid w:val="002B4F4A"/>
    <w:rsid w:val="002B74A3"/>
    <w:rsid w:val="002C2EC6"/>
    <w:rsid w:val="002C70BE"/>
    <w:rsid w:val="002C70F5"/>
    <w:rsid w:val="002D04D9"/>
    <w:rsid w:val="002E35EE"/>
    <w:rsid w:val="002E4DCF"/>
    <w:rsid w:val="002F42E3"/>
    <w:rsid w:val="002F4721"/>
    <w:rsid w:val="002F5CF4"/>
    <w:rsid w:val="003057D6"/>
    <w:rsid w:val="00317BFE"/>
    <w:rsid w:val="00350A3E"/>
    <w:rsid w:val="0036407F"/>
    <w:rsid w:val="00367896"/>
    <w:rsid w:val="0037044E"/>
    <w:rsid w:val="003721E7"/>
    <w:rsid w:val="003A13BD"/>
    <w:rsid w:val="003A582D"/>
    <w:rsid w:val="003A5CFE"/>
    <w:rsid w:val="003A63EA"/>
    <w:rsid w:val="003B1055"/>
    <w:rsid w:val="003C558F"/>
    <w:rsid w:val="003D668C"/>
    <w:rsid w:val="003E1155"/>
    <w:rsid w:val="003E1E24"/>
    <w:rsid w:val="003E4A8B"/>
    <w:rsid w:val="003E6038"/>
    <w:rsid w:val="003F5715"/>
    <w:rsid w:val="003F573E"/>
    <w:rsid w:val="0040498E"/>
    <w:rsid w:val="00404C12"/>
    <w:rsid w:val="00405030"/>
    <w:rsid w:val="00406D2B"/>
    <w:rsid w:val="00410571"/>
    <w:rsid w:val="004109F3"/>
    <w:rsid w:val="00412684"/>
    <w:rsid w:val="0043223D"/>
    <w:rsid w:val="00432AB8"/>
    <w:rsid w:val="004362B9"/>
    <w:rsid w:val="00447EE9"/>
    <w:rsid w:val="00454931"/>
    <w:rsid w:val="00476BCD"/>
    <w:rsid w:val="00483B0F"/>
    <w:rsid w:val="004919AC"/>
    <w:rsid w:val="004931EA"/>
    <w:rsid w:val="004B2DB4"/>
    <w:rsid w:val="004B4329"/>
    <w:rsid w:val="004C0481"/>
    <w:rsid w:val="004C2B74"/>
    <w:rsid w:val="004C5F92"/>
    <w:rsid w:val="004D2061"/>
    <w:rsid w:val="004F3D6D"/>
    <w:rsid w:val="00511355"/>
    <w:rsid w:val="00511511"/>
    <w:rsid w:val="00513B13"/>
    <w:rsid w:val="00530056"/>
    <w:rsid w:val="005331DE"/>
    <w:rsid w:val="00544A86"/>
    <w:rsid w:val="005533B5"/>
    <w:rsid w:val="00556DCC"/>
    <w:rsid w:val="0055785C"/>
    <w:rsid w:val="0056225A"/>
    <w:rsid w:val="00562C91"/>
    <w:rsid w:val="00566607"/>
    <w:rsid w:val="00566ACD"/>
    <w:rsid w:val="00573E9F"/>
    <w:rsid w:val="005741BC"/>
    <w:rsid w:val="005750A0"/>
    <w:rsid w:val="005831ED"/>
    <w:rsid w:val="00584A06"/>
    <w:rsid w:val="005850A3"/>
    <w:rsid w:val="00590B22"/>
    <w:rsid w:val="00590BEC"/>
    <w:rsid w:val="00591298"/>
    <w:rsid w:val="00596B88"/>
    <w:rsid w:val="005B1B7A"/>
    <w:rsid w:val="005B6A3F"/>
    <w:rsid w:val="005B6B31"/>
    <w:rsid w:val="006074E6"/>
    <w:rsid w:val="00611ADD"/>
    <w:rsid w:val="0061423F"/>
    <w:rsid w:val="006150CF"/>
    <w:rsid w:val="00616301"/>
    <w:rsid w:val="00627EDB"/>
    <w:rsid w:val="00650B6E"/>
    <w:rsid w:val="00656724"/>
    <w:rsid w:val="0066026B"/>
    <w:rsid w:val="00675509"/>
    <w:rsid w:val="006770A1"/>
    <w:rsid w:val="006855C2"/>
    <w:rsid w:val="006C256E"/>
    <w:rsid w:val="006D1112"/>
    <w:rsid w:val="006D28D7"/>
    <w:rsid w:val="006D558F"/>
    <w:rsid w:val="006D6A69"/>
    <w:rsid w:val="006E005D"/>
    <w:rsid w:val="006F5EA5"/>
    <w:rsid w:val="006F7498"/>
    <w:rsid w:val="00714997"/>
    <w:rsid w:val="007215A8"/>
    <w:rsid w:val="00721964"/>
    <w:rsid w:val="00721D02"/>
    <w:rsid w:val="00721FFE"/>
    <w:rsid w:val="00730343"/>
    <w:rsid w:val="00735966"/>
    <w:rsid w:val="00752609"/>
    <w:rsid w:val="007624BA"/>
    <w:rsid w:val="007654F7"/>
    <w:rsid w:val="00772F51"/>
    <w:rsid w:val="00773366"/>
    <w:rsid w:val="00791857"/>
    <w:rsid w:val="00796006"/>
    <w:rsid w:val="007A302E"/>
    <w:rsid w:val="007A4231"/>
    <w:rsid w:val="007A5076"/>
    <w:rsid w:val="007C3648"/>
    <w:rsid w:val="007E3818"/>
    <w:rsid w:val="007F05C8"/>
    <w:rsid w:val="007F1E30"/>
    <w:rsid w:val="0082329A"/>
    <w:rsid w:val="00830FD2"/>
    <w:rsid w:val="00835BBD"/>
    <w:rsid w:val="008362C7"/>
    <w:rsid w:val="008618ED"/>
    <w:rsid w:val="008727B9"/>
    <w:rsid w:val="00872B61"/>
    <w:rsid w:val="008839CA"/>
    <w:rsid w:val="00890A7F"/>
    <w:rsid w:val="008940DE"/>
    <w:rsid w:val="00897D02"/>
    <w:rsid w:val="008A5A0C"/>
    <w:rsid w:val="008B5659"/>
    <w:rsid w:val="008B5E74"/>
    <w:rsid w:val="008B7B93"/>
    <w:rsid w:val="008C3C20"/>
    <w:rsid w:val="00930253"/>
    <w:rsid w:val="00931073"/>
    <w:rsid w:val="00933857"/>
    <w:rsid w:val="00941EF8"/>
    <w:rsid w:val="00956EC8"/>
    <w:rsid w:val="009571FD"/>
    <w:rsid w:val="00957663"/>
    <w:rsid w:val="00960E9F"/>
    <w:rsid w:val="009651D9"/>
    <w:rsid w:val="00987EEE"/>
    <w:rsid w:val="00993656"/>
    <w:rsid w:val="009A2823"/>
    <w:rsid w:val="009A64E5"/>
    <w:rsid w:val="009A6B77"/>
    <w:rsid w:val="009B2F83"/>
    <w:rsid w:val="009B3C8C"/>
    <w:rsid w:val="009B59A8"/>
    <w:rsid w:val="009B6D85"/>
    <w:rsid w:val="009B71CC"/>
    <w:rsid w:val="009D4190"/>
    <w:rsid w:val="009D6127"/>
    <w:rsid w:val="009E013A"/>
    <w:rsid w:val="009F3B07"/>
    <w:rsid w:val="009F587A"/>
    <w:rsid w:val="009F749A"/>
    <w:rsid w:val="00A0200E"/>
    <w:rsid w:val="00A1384E"/>
    <w:rsid w:val="00A15D01"/>
    <w:rsid w:val="00A32019"/>
    <w:rsid w:val="00A403D1"/>
    <w:rsid w:val="00A41E5E"/>
    <w:rsid w:val="00A50989"/>
    <w:rsid w:val="00A53534"/>
    <w:rsid w:val="00A53FE9"/>
    <w:rsid w:val="00A6001E"/>
    <w:rsid w:val="00A6326A"/>
    <w:rsid w:val="00A64CAA"/>
    <w:rsid w:val="00A757A6"/>
    <w:rsid w:val="00A87FDF"/>
    <w:rsid w:val="00A9232C"/>
    <w:rsid w:val="00AB39A9"/>
    <w:rsid w:val="00AB79A5"/>
    <w:rsid w:val="00AC0EE1"/>
    <w:rsid w:val="00AD63F9"/>
    <w:rsid w:val="00B11E7D"/>
    <w:rsid w:val="00B134B5"/>
    <w:rsid w:val="00B1402F"/>
    <w:rsid w:val="00B21E2A"/>
    <w:rsid w:val="00B259EA"/>
    <w:rsid w:val="00B4644C"/>
    <w:rsid w:val="00B5052D"/>
    <w:rsid w:val="00B52DEA"/>
    <w:rsid w:val="00B65611"/>
    <w:rsid w:val="00B674A3"/>
    <w:rsid w:val="00B81114"/>
    <w:rsid w:val="00BA0768"/>
    <w:rsid w:val="00BA14D1"/>
    <w:rsid w:val="00BA1F11"/>
    <w:rsid w:val="00BB4559"/>
    <w:rsid w:val="00BB688B"/>
    <w:rsid w:val="00BB6AA3"/>
    <w:rsid w:val="00BB78CF"/>
    <w:rsid w:val="00BD2F26"/>
    <w:rsid w:val="00BD4343"/>
    <w:rsid w:val="00BE58D1"/>
    <w:rsid w:val="00BE60C0"/>
    <w:rsid w:val="00BF589B"/>
    <w:rsid w:val="00BF67E2"/>
    <w:rsid w:val="00C0074D"/>
    <w:rsid w:val="00C16AF1"/>
    <w:rsid w:val="00C3247B"/>
    <w:rsid w:val="00C4501C"/>
    <w:rsid w:val="00C53A3E"/>
    <w:rsid w:val="00C72967"/>
    <w:rsid w:val="00C72984"/>
    <w:rsid w:val="00C7763A"/>
    <w:rsid w:val="00C77E19"/>
    <w:rsid w:val="00CA2031"/>
    <w:rsid w:val="00CB5C09"/>
    <w:rsid w:val="00CB7A95"/>
    <w:rsid w:val="00CC1154"/>
    <w:rsid w:val="00CC3647"/>
    <w:rsid w:val="00CC6142"/>
    <w:rsid w:val="00CE0567"/>
    <w:rsid w:val="00CE1829"/>
    <w:rsid w:val="00CF0120"/>
    <w:rsid w:val="00CF41CB"/>
    <w:rsid w:val="00D13EAB"/>
    <w:rsid w:val="00D23C81"/>
    <w:rsid w:val="00D26C0F"/>
    <w:rsid w:val="00D31FFE"/>
    <w:rsid w:val="00D370F1"/>
    <w:rsid w:val="00D460FC"/>
    <w:rsid w:val="00D46B73"/>
    <w:rsid w:val="00D47321"/>
    <w:rsid w:val="00D51FFD"/>
    <w:rsid w:val="00D62598"/>
    <w:rsid w:val="00D82B3D"/>
    <w:rsid w:val="00D8330B"/>
    <w:rsid w:val="00D95CAF"/>
    <w:rsid w:val="00D966C2"/>
    <w:rsid w:val="00DA0C0E"/>
    <w:rsid w:val="00DA70E4"/>
    <w:rsid w:val="00DB3370"/>
    <w:rsid w:val="00DC3CD1"/>
    <w:rsid w:val="00DD20B7"/>
    <w:rsid w:val="00DD4278"/>
    <w:rsid w:val="00DD71E2"/>
    <w:rsid w:val="00E03A30"/>
    <w:rsid w:val="00E03CCC"/>
    <w:rsid w:val="00E06184"/>
    <w:rsid w:val="00E364DD"/>
    <w:rsid w:val="00E36D12"/>
    <w:rsid w:val="00E6118B"/>
    <w:rsid w:val="00E663B6"/>
    <w:rsid w:val="00E7504A"/>
    <w:rsid w:val="00E757CA"/>
    <w:rsid w:val="00E76AC3"/>
    <w:rsid w:val="00E80A52"/>
    <w:rsid w:val="00E93924"/>
    <w:rsid w:val="00EA66AC"/>
    <w:rsid w:val="00EB2E0D"/>
    <w:rsid w:val="00ED0B76"/>
    <w:rsid w:val="00ED2283"/>
    <w:rsid w:val="00EE3C71"/>
    <w:rsid w:val="00F00849"/>
    <w:rsid w:val="00F159B4"/>
    <w:rsid w:val="00F215C4"/>
    <w:rsid w:val="00F21697"/>
    <w:rsid w:val="00F259A0"/>
    <w:rsid w:val="00F26D40"/>
    <w:rsid w:val="00F35AD5"/>
    <w:rsid w:val="00F50AF9"/>
    <w:rsid w:val="00F60768"/>
    <w:rsid w:val="00F6221F"/>
    <w:rsid w:val="00F660A2"/>
    <w:rsid w:val="00FA56D2"/>
    <w:rsid w:val="00FB0E46"/>
    <w:rsid w:val="00FB72DF"/>
    <w:rsid w:val="00FF0B34"/>
    <w:rsid w:val="00FF73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AC550B86-CEC9-4AB4-B0BF-045DA65CE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Normal9pt">
    <w:name w:val="Normal + 9 pt"/>
    <w:aliases w:val="Sin Expandido / Comprimido"/>
    <w:basedOn w:val="Textoindependiente"/>
    <w:rsid w:val="00930253"/>
    <w:pPr>
      <w:numPr>
        <w:numId w:val="41"/>
      </w:numPr>
    </w:pPr>
    <w:rPr>
      <w:rFonts w:cs="Arial"/>
      <w:sz w:val="18"/>
      <w:szCs w:val="18"/>
      <w:lang w:val="es-MX"/>
    </w:rPr>
  </w:style>
  <w:style w:type="character" w:styleId="Textodelmarcadordeposicin">
    <w:name w:val="Placeholder Text"/>
    <w:basedOn w:val="Fuentedeprrafopredeter"/>
    <w:uiPriority w:val="99"/>
    <w:semiHidden/>
    <w:rsid w:val="008727B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E33F4-22B1-4DA7-A471-4FBA1ABDC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9056d983-1374-4724-9f8d-2ef5b64379db"/>
    <ds:schemaRef ds:uri="http://www.w3.org/XML/1998/namespace"/>
    <ds:schemaRef ds:uri="http://purl.org/dc/elements/1.1/"/>
  </ds:schemaRefs>
</ds:datastoreItem>
</file>

<file path=customXml/itemProps3.xml><?xml version="1.0" encoding="utf-8"?>
<ds:datastoreItem xmlns:ds="http://schemas.openxmlformats.org/officeDocument/2006/customXml" ds:itemID="{A160CE26-C546-4A7D-BAC7-5D1A0AF69473}">
  <ds:schemaRefs>
    <ds:schemaRef ds:uri="http://schemas.openxmlformats.org/officeDocument/2006/bibliography"/>
  </ds:schemaRefs>
</ds:datastoreItem>
</file>

<file path=customXml/itemProps4.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7</Pages>
  <Words>3634</Words>
  <Characters>19686</Characters>
  <Application>Microsoft Office Word</Application>
  <DocSecurity>0</DocSecurity>
  <Lines>382</Lines>
  <Paragraphs>142</Paragraphs>
  <ScaleCrop>false</ScaleCrop>
  <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245</cp:revision>
  <dcterms:created xsi:type="dcterms:W3CDTF">2025-02-09T02:26:00Z</dcterms:created>
  <dcterms:modified xsi:type="dcterms:W3CDTF">2026-04-13T00:30:00Z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